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TONY STARK,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Tony Stark</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TONY STARK,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Tony Stark,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Tony Stark.</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each person who participated in or influenced any decision to deny repair request(s) to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showing when and how DEFENDANTS first became aware of PLAINTIFF(S)’ age(s), including correspondence, applications, tenant files, or identification records.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or supporting the reasons YOU contend justified the housing decision(s) regarding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tenants under the age of forty (40) who received more favorable terms, repairs, or services during the same time period PLAINTIFF(S) lived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or supporting the reasons YOU contend explain any difference in treatment between PLAINTIFF(S) and the tenants identified in YOUR response to the previous request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written or unwritten policies, guidelines, manuals, or procedures in effect during PLAINTIFF(S)’ tenancy relating to allocation of repairs or services.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policy, formal or informal, concerning housing for tenants over a certain age.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oral or written communications in which YOU or YOUR agents made reference to PLAINTIFF(S)’ age in connection with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statements, oral or written, by YOU or YOUR agents regarding preferring younger tenants.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complaints, grievances, administrative charges, or legal claims alleging age discrimination in housing made against YOU in the past ten (10) years, including any DOCUMENTS reflecting the resolution or settlement of each.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investigation conducted into PLAINTIFF(S)’ allegations of age discrimination, including investigator notes, reports, and findings.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consideration of a tenant’s age in making decisions about rent increases.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tenants over the age of sixty (60) who were issued a notice to quit, notice to vacate, or nonrenewal of lease in the past ten (10) years, including the reasons for each.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offering of housing units, amenities, or services exclusively or preferentially to tenants under a certain age.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advertisements, listings, or promotional materials for the subject PROPERTY in the past ten (10) years that made reference to preferred tenant age, lifestyle, or “young professionals,” including drafts and communications about their creation.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instance where YOU denied a repair request from PLAINTIFF(S) and granted a similar request from a younger tenant.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occasions in the past ten (10) years where YOU relocated tenants over a certain age to different units, including the reasons for each relocation.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statements, oral or written, by YOU or YOUR agents about older tenants being “harder to insure,” “too old to climb stairs,” or other agerelated remarks.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occasions in the past ten (10) years where YOU offered lease incentives (such as reduced rent or free upgrades) to younger tenants but not to older tenants.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discussions with insurance providers, lenders, or PROPERTY managers regarding tenant age demographics.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persons who have complained to YOU or YOUR agents about alleged age discrimination in housing within the past ten (10) years, including YOUR responses to each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each person who participated in or influenced the decision to issue notices to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showing when and how each such person first became aware of PLAINTIFF(S)’ disability, including correspondence, notes, emails, applications, or tenant files.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or supporting the reasons YOU contend justified any adverse housing decision regarding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each request for reasonable accommodation made by PLAINTIFF(S), including the date, nature of the request, and YOUR response.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or supporting the reasons YOU contend justified any denial, delay, or modification of PLAINTIFF(S)’ request for accommodation.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occasion in which YOU granted a reasonable accommodation to a tenant without a disability while denying a similar accommodation to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tenants without disabilities who were granted housing, lease renewals, repairs, or modifications under similar circumstances as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or supporting the reasons YOU contend explain any difference in treatment between PLAINTIFF(S) and the tenants identified in response to the previous two 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tenants with disabilities who have resided at the PROPERTY within the past ten (10) years, including whether they received accommodations.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written or unwritten policies, guidelines, manuals, or procedures in effect during PLAINTIFF(S)’ tenancy relating to disability accommodations, modifications, tenant selection, lease renewal, rent increases, repairs, or eviction.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All training materials, manuals, handbooks, or other documents provided to employees or agents regarding disability rights, reasonable accommodations, or modifications.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persons responsible for implementing YOUR disability accommodation policies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oral or written communications in which YOU or YOUR agents made reference to PLAINTIFF(S)’ disability in connection with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statements, oral or written, by YOU or YOUR agents about tenants with disabilities being “too costly,” “too difficult,” or otherwise undesirable.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YOU and any third party (including but not limited to PROPERTY managers, HOAs, insurance providers, or lenders) regarding PLAINTIFF(S)’ disability.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complaints, grievances, administrative charges, or lawsuits alleging disability discrimination in housing made against YOU in the past ten (10) years, including any DOCUMENTS reflecting the resolution or settlement of each.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investigation conducted into PLAINTIFF(S)’ allegations of disability discrimination, including investigator notes, reports, and findings.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contact by any government agency regarding alleged disability discrimination in housing, including correspondence, notices, or investigation results.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instances in the past ten (10) years where YOU took adverse action against a tenant after they requested a disabilityrelated accommodation, including the reasons for each.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discussion, consideration, or record of the presence of a service animal, mobility aid, or other disabilityrelated device in connection with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YOUR procedure for collecting and documenting security deposits from tenants at the commencement of a lease.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YOUR standard procedure for conducting initial walkthroughs with tenants upon movein, including how damages or conditions are noted.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YOUR policy for scheduling final walkthroughs with tenants upon moveout.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use or require for recording the condition of the PROPERTY during a final walkthrough.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YOUR procedure for notifying tenants about the scheduling of a final walkthrough, including notice templates, emails, or letters.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describing circumstances under which YOU would proceed with deductions from a security deposit without conducting a final walkthrough.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instances in which YOU returned a security deposit more than 21 days after the tenant vacated the PROPERTY, including the tenant’s name, address, and dates.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the reasons for any security deposit returned more than 21 days after a tenant vacated.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instances in which YOU did not return a security deposit more than 21 days after the tenant vacated the PROPERTY, including the tenant’s name, address, and dates.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the reasons for any security deposit was not returned more than 21 days after a tenant vacated.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complaints, grievances, or correspondence from tenants regarding the handling or return of security deposits in the past ten (10)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the resolution of each complaint identified in the previous request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describing YOUR standard timeline for returning security deposits to tenants after they vacate.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describing YOUR procedure if a tenant disputes deductions from their security deposit.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YOUR policy for conducting security deposit returns when a final walkthrough is not performed.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describing reasons why YOU might not conduct a final walkthrough with a tenant.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each instance where YOU returned a security deposit in full or in part without conducting a final walkthrough, including tenant name(s) and dates.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explaining why a walkthrough was not conducted in the instances identified in the previous request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YOUR accounting procedure for tracking security deposits, including how funds are held, interest (if any), and reconciliation upon return.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training materials, manuals, or guidelines provided to YOUR staff or agents regarding the handling of security deposits, walkthroughs, and compliance with the 21day return requirement.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supporting YOUR compliance with legal requirements to return or itemize security deposits within 21 days of a tenant vacating.</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describing changes to YOUR procedures for security deposits, walkthroughs, or returns over the past ten (10) years, including the reasons for such changes.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TONY STARK‘S,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0">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1">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1">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0">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