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LOIS LANE‘S REQUEST FOR PRODUCTION OF DOCUMENTS AND/OR THINGS FOR INSPECTION TO DEFENDANT STEVE ROGERS,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Lois Lane</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Lois Lane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Lois Lane</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2,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True and correct copies of any and all grant deeds identifying the owner(s) of the PROPERTY, including but not limited to, YOUR ownership and or prior owners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FINANCIAL STATEMENTS pertaining to the PROPERTY since YOU or any entity YOU own or control purchased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VIOLATION NOTICES pertaining to the PROPERTY since YOU or any entity YOU own or control purchased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YOUR employment of any and all personnel involved with YOUR PROPERTY in any way during that time that YOU owned the PROPERTY, including but not limited to brokers, real estate agents, caretakers, managers, PROPERTY managers, contractors, construction workers, plumbers, electricians, maintenance workers, security guards, and receptionists.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sent and received between YOU and any employee regarding the management of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homeowner’s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alll DOCUMENTS relating to Plaintiff’s complaints about trash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inadequate number of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improperly servicing emptying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improperly servicing emptying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improperly servicing emptying receptacles issues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LOIS LANE‘S REQUEST FOR PRODUCTION OF DOCUMENTS AND/OR THINGS FOR INSPECTION TO DEFENDANT STEVE ROGERS‘S,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