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 A,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 A‘S,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 a</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 A AND THEIR ATTORNEYS OF RECORD (IF OBTAINED):</w:t>
      </w:r>
    </w:p>
    <w:p>
      <w:pPr>
        <w:pStyle w:val="Text"/>
        <w:spacing w:lineRule="auto" w:line="480"/>
        <w:rPr/>
      </w:pPr>
      <w:r>
        <w:rPr>
          <w:szCs w:val="24"/>
        </w:rPr>
        <w:t xml:space="preserve">Plaintiff </w:t>
      </w:r>
      <w:r>
        <w:rPr>
          <w:szCs w:val="24"/>
        </w:rPr>
        <w:t xml:space="preserve">requests that Defendant(s), a a,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 a, and includes any and all of its agents, representatives, employees, servants, consultants, supervisors, contractors, subcontractors, investigators, attorneys, and any other persons or entities acting on purporting to act on behalf of Defendant(s), A A.</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 A,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0">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61">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81">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0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40">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