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ASD,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ASD‘S,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asd</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ASD AND THEIR ATTORNEYS OF RECORD (IF OBTAINED):</w:t>
      </w:r>
    </w:p>
    <w:p>
      <w:pPr>
        <w:pStyle w:val="Text"/>
        <w:spacing w:lineRule="auto" w:line="480"/>
        <w:rPr/>
      </w:pPr>
      <w:r>
        <w:rPr>
          <w:szCs w:val="24"/>
        </w:rPr>
        <w:t xml:space="preserve">Plaintiff </w:t>
      </w:r>
      <w:r>
        <w:rPr>
          <w:szCs w:val="24"/>
        </w:rPr>
        <w:t xml:space="preserve">requests that Defendant(s), asdf asd,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asd, and includes any and all of its agents, representatives, employees, servants, consultants, supervisors, contractors, subcontractors, investigators, attorneys, and any other persons or entities acting on purporting to act on behalf of Defendant(s), ASDF ASD.</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ASD,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4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