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F 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F F‘S,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f f</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F F AND THEIR ATTORNEYS OF RECORD (IF OBTAINED):</w:t>
      </w:r>
    </w:p>
    <w:p>
      <w:pPr>
        <w:pStyle w:val="Text"/>
        <w:spacing w:lineRule="auto" w:line="480"/>
        <w:rPr/>
      </w:pPr>
      <w:r>
        <w:rPr>
          <w:szCs w:val="24"/>
        </w:rPr>
        <w:t xml:space="preserve">Plaintiff </w:t>
      </w:r>
      <w:r>
        <w:rPr>
          <w:szCs w:val="24"/>
        </w:rPr>
        <w:t xml:space="preserve">requests that Defendant(s), f 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f f, and includes any and all of its agents, representatives, employees, servants, consultants, supervisors, contractors, subcontractors, investigators, attorneys, and any other persons or entities acting on purporting to act on behalf of Defendant(s), F 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F F,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4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