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ASFD ASFD,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ASFD ASFD‘S,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asfd asfd</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ASFD ASFD AND THEIR ATTORNEYS OF RECORD (IF OBTAINED):</w:t>
      </w:r>
    </w:p>
    <w:p>
      <w:pPr>
        <w:pStyle w:val="Text"/>
        <w:spacing w:lineRule="auto" w:line="480"/>
        <w:rPr/>
      </w:pPr>
      <w:r>
        <w:rPr>
          <w:szCs w:val="24"/>
        </w:rPr>
        <w:t xml:space="preserve">Plaintiff </w:t>
      </w:r>
      <w:r>
        <w:rPr>
          <w:szCs w:val="24"/>
        </w:rPr>
        <w:t xml:space="preserve">requests that Defendant(s), asfd asfd,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asfd asfd, and includes any and all of its agents, representatives, employees, servants, consultants, supervisors, contractors, subcontractors, investigators, attorneys, and any other persons or entities acting on purporting to act on behalf of Defendant(s), ASFD ASFD.</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bedbugs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bedbugs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bedbugs,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bedbugs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bedbugs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bedbugs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ASFD ASFD,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