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GFSD SGDF,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GFSD SGDF‘S,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gfsd sgdf</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GFSD SGDF AND THEIR ATTORNEYS OF RECORD (IF OBTAINED):</w:t>
      </w:r>
    </w:p>
    <w:p>
      <w:pPr>
        <w:pStyle w:val="Text"/>
        <w:spacing w:lineRule="auto" w:line="480"/>
        <w:rPr/>
      </w:pPr>
      <w:r>
        <w:rPr>
          <w:szCs w:val="24"/>
        </w:rPr>
        <w:t xml:space="preserve">Plaintiff </w:t>
      </w:r>
      <w:r>
        <w:rPr>
          <w:szCs w:val="24"/>
        </w:rPr>
        <w:t xml:space="preserve">requests that Defendant(s), gfsd sgdf,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gfsd sgdf, and includes any and all of its agents, representatives, employees, servants, consultants, supervisors, contractors, subcontractors, investigators, attorneys, and any other persons or entities acting on purporting to act on behalf of Defendant(s), GFSD SGDF.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GFSD SGDF,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