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footnotes.xml" ContentType="application/vnd.openxmlformats-officedocument.wordprocessingml.footnotes+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6.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 xml:space="preserve">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Seu desenvolvimento foi elaborado de acordo como o processo de criação de um produto, com definição de escopo, viabilidade, definição de prazos e configurações básicas para lançamento, baseado nas boas normas de desenvolvimento de pacotes em R. Atualmente, o pacote conta com uma versão estável disponível no CRAN e uma versão em desenvolvimento no GitHub. Após </w:t>
      </w:r>
      <w:r>
        <w:rPr>
          <w:b w:val="false"/>
          <w:bCs w:val="false"/>
          <w:u w:val="none"/>
        </w:rPr>
        <w:t>a versão estável</w:t>
      </w:r>
      <w:r>
        <w:rPr>
          <w:b w:val="false"/>
          <w:bCs w:val="false"/>
          <w:u w:val="none"/>
        </w:rPr>
        <w:t xml:space="preserve"> ser instalad</w:t>
      </w:r>
      <w:r>
        <w:rPr>
          <w:b w:val="false"/>
          <w:bCs w:val="false"/>
          <w:u w:val="none"/>
        </w:rPr>
        <w:t>a</w:t>
      </w:r>
      <w:r>
        <w:rPr>
          <w:b w:val="false"/>
          <w:bCs w:val="false"/>
          <w:u w:val="none"/>
        </w:rPr>
        <w:t xml:space="preserve"> por </w:t>
      </w:r>
      <w:r>
        <w:rPr>
          <w:rStyle w:val="normaltextrun"/>
          <w:b w:val="false"/>
          <w:bCs w:val="false"/>
          <w:color w:val="000000"/>
          <w:u w:val="none"/>
          <w:shd w:fill="FFFFFF" w:val="clear"/>
        </w:rPr>
        <w:t>823</w:t>
      </w:r>
      <w:r>
        <w:rPr>
          <w:b w:val="false"/>
          <w:bCs w:val="false"/>
          <w:u w:val="none"/>
        </w:rPr>
        <w:t xml:space="preserve"> pessoas, seu uso demonstra eficiência no processo de </w:t>
      </w:r>
      <w:r>
        <w:rPr>
          <w:b w:val="false"/>
          <w:bCs w:val="false"/>
          <w:u w:val="none"/>
        </w:rPr>
        <w:t>coleta</w:t>
      </w:r>
      <w:r>
        <w:rPr>
          <w:b w:val="false"/>
          <w:bCs w:val="false"/>
          <w:u w:val="none"/>
        </w:rPr>
        <w:t xml:space="preserve">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balancete; atos normativos; ifdata; instituições financeiras;</w:t>
      </w:r>
    </w:p>
    <w:p>
      <w:pPr>
        <w:pStyle w:val="Normal"/>
        <w:spacing w:lineRule="auto" w:line="360"/>
        <w:rPr>
          <w:b/>
        </w:rPr>
      </w:pPr>
      <w:r>
        <w:rPr>
          <w:b/>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 xml:space="preserve">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De acordo com a </w:t>
      </w:r>
      <w:r>
        <w:rPr>
          <w:rStyle w:val="Strong"/>
          <w:b w:val="false"/>
          <w:bCs w:val="false"/>
          <w:color w:val="000000"/>
          <w:shd w:fill="FFFFFF" w:val="clear"/>
        </w:rPr>
        <w:t>Coordenação de Aperfeiçoamento de Pessoal de Nível Superior [CAPES]</w:t>
      </w:r>
      <w:r>
        <w:rPr>
          <w:rStyle w:val="Strong"/>
          <w:color w:val="000000"/>
          <w:shd w:fill="FFFFFF" w:val="clear"/>
        </w:rPr>
        <w:t xml:space="preserve">, </w:t>
      </w:r>
      <w:r>
        <w:rPr>
          <w:rStyle w:val="normaltextrun"/>
          <w:b w:val="false"/>
          <w:bCs w:val="false"/>
          <w:color w:val="000000"/>
          <w:shd w:fill="FFFFFF" w:val="clear"/>
        </w:rPr>
        <w:t>quantidade de teses e dissertações anuais sobre o tema se expandiu de 37 em 2010 para 64 em 2022</w:t>
      </w:r>
      <w:r>
        <w:rPr>
          <w:rStyle w:val="FootnoteReference"/>
          <w:b w:val="false"/>
          <w:bCs w:val="false"/>
          <w:color w:val="000000"/>
          <w:shd w:fill="FFFFFF" w:val="clear"/>
        </w:rPr>
        <w:footnoteReference w:id="2"/>
      </w:r>
      <w:r>
        <w:rPr>
          <w:rStyle w:val="normaltextrun"/>
          <w:b w:val="false"/>
          <w:bCs w:val="false"/>
          <w:color w:val="000000"/>
          <w:shd w:fill="FFFFFF" w:val="clear"/>
        </w:rPr>
        <w:t xml:space="preserve">. </w:t>
      </w:r>
    </w:p>
    <w:p>
      <w:pPr>
        <w:pStyle w:val="Normal"/>
        <w:spacing w:lineRule="auto" w:line="360"/>
        <w:ind w:firstLine="709"/>
        <w:rPr/>
      </w:pPr>
      <w:r>
        <w:rPr>
          <w:rStyle w:val="normaltextrun"/>
          <w:b w:val="false"/>
          <w:bCs w:val="false"/>
          <w:color w:val="000000"/>
          <w:shd w:fill="FFFFFF" w:val="clear"/>
        </w:rPr>
        <w:t>Diversos estudos já evidenciaram a importância do uso de dados de fontes confiáveis, para testar hipóteses e propor soluções (Bath, 2023; Olmsted, 2024; Hackman et. al, 2024). O uso intensivo de dados provenientes de fontes institucionais, como o Banco Central do Brasil [Bacen], possibilita, por exemplo, pesquisas sobre influências das cooperativas de crédito em taxas de juros, análise de liquidez, avaliação de concentração bancária, fusões e incorporações, entre outras questões relevantes para o ambiente financeiro nacional (Theodoro et al, 2021; Canassa et. al, 2022; Canassa et al, 2022; Bressan et al, 2023).</w:t>
      </w:r>
    </w:p>
    <w:p>
      <w:pPr>
        <w:pStyle w:val="BodyText"/>
        <w:widowControl/>
        <w:bidi w:val="0"/>
        <w:spacing w:lineRule="auto" w:line="360" w:before="0" w:after="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before="0" w:after="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 (Paton, 2019; Santos et. al, 2025).</w:t>
      </w:r>
    </w:p>
    <w:p>
      <w:pPr>
        <w:pStyle w:val="BodyText"/>
        <w:widowControl/>
        <w:bidi w:val="0"/>
        <w:spacing w:lineRule="auto" w:line="360" w:before="0" w:after="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com potencial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3"/>
      </w:r>
      <w:r>
        <w:rPr/>
        <w:t xml:space="preserve"> (Icaro et al, 2025), rbcb</w:t>
      </w:r>
      <w:r>
        <w:rPr>
          <w:rStyle w:val="FootnoteReference"/>
        </w:rPr>
        <w:footnoteReference w:id="4"/>
      </w:r>
      <w:r>
        <w:rPr/>
        <w:t xml:space="preserve"> (Freitas, 2024) e o BETS</w:t>
      </w:r>
      <w:r>
        <w:rPr>
          <w:rStyle w:val="FootnoteReference"/>
        </w:rPr>
        <w:footnoteReference w:id="5"/>
      </w:r>
      <w:r>
        <w:rPr/>
        <w:t xml:space="preserve"> (Costa et. al, 2018) (que são focados em dados do IPCA, SELIC, PIB e Débitos do Governo, por exemplo) já demonstram que existe uma necessidade de soluções “open source” para a pesquisa econômica e financeira nacional. </w:t>
      </w:r>
    </w:p>
    <w:p>
      <w:pPr>
        <w:pStyle w:val="BodyText"/>
        <w:widowControl/>
        <w:bidi w:val="0"/>
        <w:spacing w:lineRule="auto" w:line="360" w:before="0" w:after="0"/>
        <w:ind w:firstLine="737" w:left="0" w:right="0"/>
        <w:jc w:val="both"/>
        <w:rPr/>
      </w:pPr>
      <w:r>
        <w:rPr/>
        <w:t xml:space="preserve">O acesso facilitado aos dados permite que mais pessoas investiguem problemas importantes, contribuam para o avanço do conhecimento e gerem resultados com potenciais de pautar políticas públicas, mesmo sem profundo conhecimento em programação, conforme </w:t>
      </w:r>
      <w:r>
        <w:rPr>
          <w:rStyle w:val="normaltextrun"/>
          <w:b w:val="false"/>
          <w:bCs w:val="false"/>
          <w:color w:val="000000"/>
          <w:shd w:fill="FFFFFF" w:val="clear"/>
        </w:rPr>
        <w:t>Theodoro et al (2021), Canassa et. al (2022),  Canassa et al (2022) e Bressan et al. (2023)</w:t>
      </w:r>
      <w:r>
        <w:rPr/>
        <w:t>. Entretanto, dado a grande disponibilidade de dados pelo Bacen, estes três pacotes não cobrem todos os dados disponíveis,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informações sobre as carteiras de crédito ativas de cada instituição e dados sobre o endereço das instituições financeiras ativas em cada período, de forma que os dados obtidos sejam facilmente tratados e organizados. </w:t>
      </w:r>
    </w:p>
    <w:p>
      <w:pPr>
        <w:pStyle w:val="BodyText"/>
        <w:widowControl/>
        <w:bidi w:val="0"/>
        <w:spacing w:lineRule="auto" w:line="360" w:before="0" w:after="0"/>
        <w:ind w:firstLine="737" w:left="0" w:right="0"/>
        <w:jc w:val="both"/>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before="0" w:after="26"/>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 A apresentação das funções e seus resultados foram baseados em Almeida et al. (2024) e Arel-Bundock et al. (2024), que deram exemplos de como usar as funções criadas e apresentaram os resultados esperados de cada uma delas..</w:t>
      </w:r>
    </w:p>
    <w:p>
      <w:pPr>
        <w:pStyle w:val="BodyText"/>
        <w:widowControl/>
        <w:suppressAutoHyphens w:val="true"/>
        <w:bidi w:val="0"/>
        <w:spacing w:lineRule="auto" w:line="360" w:before="0" w:after="26"/>
        <w:ind w:firstLine="680" w:left="0" w:right="0"/>
        <w:jc w:val="both"/>
        <w:rPr/>
      </w:pPr>
      <w:r>
        <w:rPr/>
        <w:t xml:space="preserve">O desenvolvimento do pacote ocorreu em etapas seguindo o que foi apresentado por </w:t>
      </w:r>
      <w:r>
        <w:rPr>
          <w:rFonts w:eastAsia="Times New Roman"/>
          <w:b w:val="false"/>
          <w:bCs w:val="false"/>
          <w:lang w:eastAsia="pt-BR"/>
        </w:rPr>
        <w:t>Wickham e Bryan (2023), que são: 1) Configurações iniciais (ambiente); 2) Componentes do pacote (código, dados e outros); 3) Matadados (descrição, dependências e licença); 4) Testagem; 5) Documentação, e; 6) Manutenção.</w:t>
      </w:r>
    </w:p>
    <w:p>
      <w:pPr>
        <w:pStyle w:val="BodyText"/>
        <w:widowControl/>
        <w:suppressAutoHyphens w:val="true"/>
        <w:bidi w:val="0"/>
        <w:spacing w:lineRule="auto" w:line="360" w:before="0" w:after="26"/>
        <w:ind w:firstLine="680" w:left="0" w:right="0"/>
        <w:jc w:val="both"/>
        <w:rPr/>
      </w:pPr>
      <w:r>
        <w:rPr>
          <w:rFonts w:eastAsia="Times New Roman"/>
          <w:b w:val="false"/>
          <w:bCs w:val="false"/>
          <w:lang w:eastAsia="pt-BR"/>
        </w:rPr>
        <w:t>Desta forma, como passo inicial</w:t>
      </w:r>
      <w:r>
        <w:rPr/>
        <w:t>,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6"/>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26"/>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26"/>
        <w:ind w:firstLine="680" w:left="0" w:right="0"/>
        <w:jc w:val="both"/>
        <w:rPr/>
      </w:pPr>
      <w:r>
        <w:rPr/>
        <w:t>Na sequência, procedeu-se à análise dos componentes estruturais do pacote, que são compostos pelo código-fonte, pelas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26"/>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26"/>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7"/>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8"/>
      </w:r>
      <w:r>
        <w:rPr/>
        <w:t>.</w:t>
      </w:r>
    </w:p>
    <w:p>
      <w:pPr>
        <w:pStyle w:val="BodyText"/>
        <w:widowControl/>
        <w:suppressAutoHyphens w:val="true"/>
        <w:bidi w:val="0"/>
        <w:spacing w:lineRule="auto" w:line="360" w:before="0" w:after="26"/>
        <w:ind w:firstLine="680" w:left="0" w:right="0"/>
        <w:jc w:val="both"/>
        <w:rPr/>
      </w:pPr>
      <w:r>
        <w:rPr/>
        <w:t>Após os feedbacks, as funções foram ajustadas e novas funções foram adicionadas, seguindo a necessidade dos usuários. Estas novas funções possuíam o objetivo de coletar dados do IFdata</w:t>
      </w:r>
      <w:r>
        <w:rPr>
          <w:rStyle w:val="FootnoteReference"/>
        </w:rPr>
        <w:footnoteReference w:id="9"/>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26"/>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10"/>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com o pacote, criando uma função que precisa e compartilhando para que outras pessoas possam utilizar.</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1"/>
      </w:r>
    </w:p>
    <w:p>
      <w:pPr>
        <w:pStyle w:val="ListParagraph"/>
        <w:spacing w:lineRule="auto" w:line="240"/>
        <w:ind w:hanging="0" w:left="0"/>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 idioma escolhido para o pacote foi o inglês, pois foi considerado que através dele seria possível alcançar um maior número de pessoas. Entretanto, as mensagens de erro, e algumas instruções também foram adicionadas em português para facilitar o uso de brasileiros. 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`get_normative_data()`, `get_normative_txt()`, `get</w:t>
      </w:r>
      <w:r>
        <w:rPr>
          <w:rStyle w:val="normaltextrun"/>
        </w:rPr>
        <w:t>_balance_sheets()` e</w:t>
      </w:r>
      <w:r>
        <w:rPr>
          <w:rStyle w:val="normaltextrun"/>
          <w:color w:val="000000"/>
          <w:shd w:fill="FFFFFF" w:val="clear"/>
        </w:rPr>
        <w:t xml:space="preserve"> `tidy_balance_sheets()`. Após o pacote ser instalado, a documentação de cada função poderá ser dentro do próprio R, conforme exemplo da Figura 2, usando o formato “??get_normative_data”.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`get_normative_data()`</w:t>
      </w:r>
    </w:p>
    <w:p>
      <w:pPr>
        <w:pStyle w:val="ListParagraph"/>
        <w:spacing w:lineRule="auto" w:line="240"/>
        <w:ind w:hanging="0" w:left="0"/>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 com os ajustes de acordo com as necessidades.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de cada função, já descreve o que ela faz, entretanto nas documentações foram descritos conforme a Tabela 1:</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color w:val="000000"/>
          <w:shd w:fill="FFFFFF" w:val="clear"/>
        </w:rPr>
        <w:t>Tabela 1. Lista de funções e suas descrições da versão 0.1.0 do pacote</w:t>
      </w:r>
    </w:p>
    <w:tbl>
      <w:tblPr>
        <w:tblW w:w="5000" w:type="pct"/>
        <w:jc w:val="left"/>
        <w:tblInd w:w="55" w:type="dxa"/>
        <w:tblLayout w:type="fixed"/>
        <w:tblCellMar>
          <w:top w:w="55" w:type="dxa"/>
          <w:left w:w="55" w:type="dxa"/>
          <w:bottom w:w="55" w:type="dxa"/>
          <w:right w:w="55" w:type="dxa"/>
        </w:tblCellMar>
      </w:tblPr>
      <w:tblGrid>
        <w:gridCol w:w="2367"/>
        <w:gridCol w:w="6702"/>
      </w:tblGrid>
      <w:tr>
        <w:trPr/>
        <w:tc>
          <w:tcPr>
            <w:tcW w:w="2367" w:type="dxa"/>
            <w:tcBorders>
              <w:top w:val="single" w:sz="4" w:space="0" w:color="000000"/>
              <w:bottom w:val="single" w:sz="4" w:space="0" w:color="000000"/>
            </w:tcBorders>
          </w:tcPr>
          <w:p>
            <w:pPr>
              <w:pStyle w:val="Contedodatabela"/>
              <w:rPr/>
            </w:pPr>
            <w:r>
              <w:rPr/>
              <w:t>Função</w:t>
            </w:r>
          </w:p>
        </w:tc>
        <w:tc>
          <w:tcPr>
            <w:tcW w:w="6702" w:type="dxa"/>
            <w:tcBorders>
              <w:top w:val="single" w:sz="4" w:space="0" w:color="000000"/>
              <w:bottom w:val="single" w:sz="4" w:space="0" w:color="000000"/>
            </w:tcBorders>
          </w:tcPr>
          <w:p>
            <w:pPr>
              <w:pStyle w:val="Contedodatabela"/>
              <w:rPr/>
            </w:pPr>
            <w:r>
              <w:rPr/>
              <w:t>Descrição</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get_normative_data()</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os atos normativos do Bacen por termos e janela de datas</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get_normative_txt()</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 texto dos atos normativos do Bacen, de acordo o data.frame gerado pela função [get_normative_data()]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get_balance_sheets()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os balanços e balancetes das instituições financeiras, por ano e mês e tipo do documento, presentes no Bacen</w:t>
            </w:r>
          </w:p>
        </w:tc>
      </w:tr>
      <w:tr>
        <w:trPr>
          <w:trHeight w:val="852" w:hRule="atLeast"/>
        </w:trPr>
        <w:tc>
          <w:tcPr>
            <w:tcW w:w="2367" w:type="dxa"/>
            <w:tcBorders>
              <w:bottom w:val="single" w:sz="4" w:space="0" w:color="000000"/>
            </w:tcBorders>
          </w:tcPr>
          <w:p>
            <w:pPr>
              <w:pStyle w:val="ListParagraph"/>
              <w:widowControl/>
              <w:suppressAutoHyphens w:val="true"/>
              <w:bidi w:val="0"/>
              <w:spacing w:lineRule="auto" w:line="360" w:before="0" w:after="0"/>
              <w:ind w:hanging="0" w:left="57" w:right="0"/>
              <w:contextualSpacing/>
              <w:jc w:val="both"/>
              <w:rPr/>
            </w:pPr>
            <w:r>
              <w:rPr>
                <w:rStyle w:val="normaltextrun"/>
              </w:rPr>
              <w:t>tidy_balance_sheets()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Processa e organiza os balanços baixados do Bacen pela função get_balance_sheets()</w:t>
            </w:r>
          </w:p>
        </w:tc>
      </w:tr>
    </w:tbl>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2"/>
      </w:r>
      <w:r>
        <w:rPr>
          <w:rStyle w:val="normaltextrun"/>
        </w:rPr>
        <w:t>, que permite que o pacote e suas funções sejam utilizados em outros pacotes e programas, desde que a distribuição destes também seja livre. Então, após realizar todos os testes, o pacote foi enviado para o “Github”, com a  criação de um README.md com um texto de apresentação, conforme Figura 3.</w:t>
      </w:r>
    </w:p>
    <w:p>
      <w:pPr>
        <w:pStyle w:val="ListParagraph"/>
        <w:widowControl/>
        <w:suppressAutoHyphens w:val="true"/>
        <w:bidi w:val="0"/>
        <w:spacing w:lineRule="auto" w:line="240" w:before="0" w:after="0"/>
        <w:ind w:hanging="0" w:left="0" w:right="0"/>
        <w:contextualSpacing/>
        <w:jc w:val="both"/>
        <w:rPr/>
      </w:pPr>
      <w:r>
        <w:rPr/>
        <w:drawing>
          <wp:inline distT="0" distB="0" distL="0" distR="0">
            <wp:extent cx="4128770" cy="4225290"/>
            <wp:effectExtent l="0" t="0" r="0" b="0"/>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inline>
        </w:drawing>
      </w:r>
    </w:p>
    <w:p>
      <w:pPr>
        <w:pStyle w:val="ListParagraph"/>
        <w:widowControl/>
        <w:suppressAutoHyphens w:val="true"/>
        <w:bidi w:val="0"/>
        <w:spacing w:lineRule="auto" w:line="240" w:before="0" w:after="0"/>
        <w:ind w:hanging="0" w:left="0" w:right="0"/>
        <w:contextualSpacing/>
        <w:jc w:val="both"/>
        <w:rPr/>
      </w:pPr>
      <w:r>
        <w:rPr>
          <w:rStyle w:val="normaltextrun"/>
        </w:rPr>
        <w:t>Figura 3. README.md do pacote bacenR, com descrição e instruções de instalação e uso</w:t>
      </w:r>
    </w:p>
    <w:p>
      <w:pPr>
        <w:pStyle w:val="ListParagraph"/>
        <w:widowControl/>
        <w:suppressAutoHyphens w:val="true"/>
        <w:bidi w:val="0"/>
        <w:spacing w:lineRule="auto" w:line="240" w:before="0" w:after="0"/>
        <w:ind w:hanging="0" w:left="0" w:right="0"/>
        <w:contextualSpacing/>
        <w:jc w:val="both"/>
        <w:rPr/>
      </w:pPr>
      <w:r>
        <w:rPr>
          <w:rStyle w:val="normaltextrun"/>
        </w:rPr>
        <w:t>Fonte: Resultados originais da pesquisa</w:t>
      </w:r>
    </w:p>
    <w:p>
      <w:pPr>
        <w:pStyle w:val="ListParagraph"/>
        <w:bidi w:val="0"/>
        <w:spacing w:lineRule="auto" w:line="240"/>
        <w:ind w:hanging="0" w:left="0"/>
        <w:jc w:val="left"/>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FootnoteReference"/>
          <w:color w:val="000000"/>
          <w:shd w:fill="FFFFFF" w:val="clear"/>
        </w:rPr>
        <w:footnoteReference w:id="13"/>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conforme apresenta a Tabela 2.</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color w:val="000000"/>
          <w:shd w:fill="FFFFFF" w:val="clear"/>
        </w:rPr>
        <w:t>Tabela 2. Lista de funções e suas descrições inseridas na versão 0.3.0 do pacote, após feedbacks</w:t>
      </w:r>
    </w:p>
    <w:tbl>
      <w:tblPr>
        <w:tblW w:w="5000" w:type="pct"/>
        <w:jc w:val="left"/>
        <w:tblInd w:w="55" w:type="dxa"/>
        <w:tblLayout w:type="fixed"/>
        <w:tblCellMar>
          <w:top w:w="55" w:type="dxa"/>
          <w:left w:w="55" w:type="dxa"/>
          <w:bottom w:w="55" w:type="dxa"/>
          <w:right w:w="55" w:type="dxa"/>
        </w:tblCellMar>
      </w:tblPr>
      <w:tblGrid>
        <w:gridCol w:w="2367"/>
        <w:gridCol w:w="6702"/>
      </w:tblGrid>
      <w:tr>
        <w:trPr/>
        <w:tc>
          <w:tcPr>
            <w:tcW w:w="2367" w:type="dxa"/>
            <w:tcBorders>
              <w:top w:val="single" w:sz="4" w:space="0" w:color="000000"/>
              <w:bottom w:val="single" w:sz="4" w:space="0" w:color="000000"/>
            </w:tcBorders>
          </w:tcPr>
          <w:p>
            <w:pPr>
              <w:pStyle w:val="Contedodatabela"/>
              <w:rPr/>
            </w:pPr>
            <w:r>
              <w:rPr/>
              <w:t>Função</w:t>
            </w:r>
          </w:p>
        </w:tc>
        <w:tc>
          <w:tcPr>
            <w:tcW w:w="6702" w:type="dxa"/>
            <w:tcBorders>
              <w:top w:val="single" w:sz="4" w:space="0" w:color="000000"/>
              <w:bottom w:val="single" w:sz="4" w:space="0" w:color="000000"/>
            </w:tcBorders>
          </w:tcPr>
          <w:p>
            <w:pPr>
              <w:pStyle w:val="Contedodatabela"/>
              <w:rPr/>
            </w:pPr>
            <w:r>
              <w:rPr/>
              <w:t>Descrição</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get_ifdata_reports()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de relatórios institucionais presentes no IFdata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get_ifdata_registry()</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de registro das instituições presentes no IFdata</w:t>
            </w:r>
          </w:p>
        </w:tc>
      </w:tr>
      <w:tr>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get_institutions()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Baixa dados cadastrais das instituições autorizadas pelo Bacen</w:t>
            </w:r>
          </w:p>
        </w:tc>
      </w:tr>
      <w:tr>
        <w:trPr>
          <w:trHeight w:val="852" w:hRule="atLeast"/>
        </w:trPr>
        <w:tc>
          <w:tcPr>
            <w:tcW w:w="2367" w:type="dxa"/>
            <w:tcBorders>
              <w:bottom w:val="single" w:sz="4" w:space="0" w:color="000000"/>
            </w:tcBorders>
          </w:tcPr>
          <w:p>
            <w:pPr>
              <w:pStyle w:val="ListParagraph"/>
              <w:widowControl/>
              <w:suppressAutoHyphens w:val="true"/>
              <w:bidi w:val="0"/>
              <w:spacing w:lineRule="auto" w:line="360" w:before="0" w:after="0"/>
              <w:ind w:hanging="0" w:left="0" w:right="0"/>
              <w:contextualSpacing/>
              <w:jc w:val="both"/>
              <w:rPr/>
            </w:pPr>
            <w:r>
              <w:rPr>
                <w:rStyle w:val="normaltextrun"/>
                <w:color w:val="000000"/>
                <w:shd w:fill="FFFFFF" w:val="clear"/>
              </w:rPr>
              <w:t>tidy_institutions()</w:t>
            </w:r>
          </w:p>
        </w:tc>
        <w:tc>
          <w:tcPr>
            <w:tcW w:w="6702" w:type="dxa"/>
            <w:tcBorders>
              <w:bottom w:val="single" w:sz="4" w:space="0" w:color="000000"/>
            </w:tcBorders>
          </w:tcPr>
          <w:p>
            <w:pPr>
              <w:pStyle w:val="ListParagraph"/>
              <w:widowControl/>
              <w:suppressAutoHyphens w:val="true"/>
              <w:bidi w:val="0"/>
              <w:spacing w:lineRule="auto" w:line="360" w:before="0" w:after="0"/>
              <w:ind w:hanging="0" w:left="113" w:right="57"/>
              <w:contextualSpacing/>
              <w:jc w:val="left"/>
              <w:rPr/>
            </w:pPr>
            <w:r>
              <w:rPr>
                <w:rStyle w:val="normaltextrun"/>
              </w:rPr>
              <w:t xml:space="preserve">Trada dados cadastrais das instituições autorizadas pelo Bacen baixados pela função </w:t>
            </w:r>
            <w:r>
              <w:rPr>
                <w:rStyle w:val="normaltextrun"/>
                <w:color w:val="000000"/>
                <w:shd w:fill="FFFFFF" w:val="clear"/>
              </w:rPr>
              <w:t>get_institutions()</w:t>
            </w:r>
          </w:p>
        </w:tc>
      </w:tr>
    </w:tbl>
    <w:p>
      <w:pPr>
        <w:pStyle w:val="ListParagraph"/>
        <w:widowControl/>
        <w:suppressAutoHyphens w:val="true"/>
        <w:bidi w:val="0"/>
        <w:spacing w:lineRule="auto" w:line="360" w:before="0" w:after="0"/>
        <w:ind w:hanging="0" w:left="0" w:right="0"/>
        <w:contextualSpacing/>
        <w:jc w:val="both"/>
        <w:rPr>
          <w:rStyle w:val="normaltextrun"/>
          <w:color w:val="000000"/>
          <w:shd w:fill="FFFFFF" w:val="clear"/>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estas quatro novas funções adicionadas, a versão final contou com oito funções para coleta e tratamento de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Na Figura 4 estão a descrição das funções e alterações feitas de uma versão para a outra até a versão da publicação, sendo que estas informações estão no arquivo “news” disponível no repositório do GitHub</w:t>
      </w:r>
      <w:r>
        <w:rPr>
          <w:rStyle w:val="FootnoteReference"/>
          <w:color w:val="000000"/>
          <w:shd w:fill="FFFFFF" w:val="clear"/>
        </w:rPr>
        <w:footnoteReference w:id="14"/>
      </w:r>
      <w:r>
        <w:rPr>
          <w:rStyle w:val="normaltextrun"/>
          <w:color w:val="000000"/>
          <w:shd w:fill="FFFFFF" w:val="clear"/>
        </w:rPr>
        <w:t>.</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759450" cy="644715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759450" cy="6447155"/>
                    </a:xfrm>
                    <a:prstGeom prst="rect">
                      <a:avLst/>
                    </a:prstGeom>
                  </pic:spPr>
                </pic:pic>
              </a:graphicData>
            </a:graphic>
          </wp:anchor>
        </w:drawing>
      </w:r>
      <w:r>
        <w:rPr>
          <w:rStyle w:val="normaltextrun"/>
          <w:color w:val="000000"/>
          <w:shd w:fill="FFFFFF" w:val="clear"/>
        </w:rPr>
        <w:t>Figura 4. Arquivo “NEWS” que apresenta as mudanças de uma versão para outra.</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a adição destas funções, o pacote foi considerado com conteúdo suficiente para ser lançado em sua versão oficial através do CRAN (Theodoro, 2026). Para isso, foi criado um “vignettes”, que é um arquivo com a descrição do pacote e exemplos de uso, assim como o README.md do Github. Desta forma, a árvore de diretório final está representada na Figura  5.</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rPr/>
        <w:drawing>
          <wp:inline distT="0" distB="0" distL="0" distR="0">
            <wp:extent cx="2105660" cy="6156960"/>
            <wp:effectExtent l="0" t="0" r="0" b="0"/>
            <wp:docPr id="5"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Copy 1" descr=""/>
                    <pic:cNvPicPr>
                      <a:picLocks noChangeAspect="1" noChangeArrowheads="1"/>
                    </pic:cNvPicPr>
                  </pic:nvPicPr>
                  <pic:blipFill>
                    <a:blip r:embed="rId6"/>
                    <a:stretch>
                      <a:fillRect/>
                    </a:stretch>
                  </pic:blipFill>
                  <pic:spPr bwMode="auto">
                    <a:xfrm>
                      <a:off x="0" y="0"/>
                      <a:ext cx="2105660" cy="6156960"/>
                    </a:xfrm>
                    <a:prstGeom prst="rect">
                      <a:avLst/>
                    </a:prstGeom>
                  </pic:spPr>
                </pic:pic>
              </a:graphicData>
            </a:graphic>
          </wp:inline>
        </w:drawing>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Figura 5. Árvore de diretório do pacote bacenR</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FootnoteReference"/>
          <w:color w:val="000000"/>
          <w:shd w:fill="FFFFFF" w:val="clear"/>
        </w:rPr>
        <w:footnoteReference w:id="15"/>
      </w:r>
      <w:r>
        <w:rPr>
          <w:rStyle w:val="normaltextrun"/>
          <w:color w:val="000000"/>
          <w:shd w:fill="FFFFFF" w:val="clear"/>
        </w:rPr>
        <w:t>, seu vignettes</w:t>
      </w:r>
      <w:r>
        <w:rPr>
          <w:rStyle w:val="FootnoteReference"/>
          <w:color w:val="000000"/>
          <w:shd w:fill="FFFFFF" w:val="clear"/>
        </w:rPr>
        <w:footnoteReference w:id="16"/>
      </w:r>
      <w:r>
        <w:rPr>
          <w:rStyle w:val="normaltextrun"/>
          <w:color w:val="000000"/>
          <w:shd w:fill="FFFFFF" w:val="clear"/>
        </w:rPr>
        <w:t xml:space="preserve"> ficou de acordo com a Figura 6. Como observado, ele apresenta uma breve descrição do pacote, descrição de cada função, origem dos dados coletados e um exemplo simples de uso.</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470027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6.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isso, foi adicionada ao README.md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 conforme Figura 7.</w:t>
      </w:r>
    </w:p>
    <w:p>
      <w:pPr>
        <w:pStyle w:val="ListParagraph"/>
        <w:spacing w:lineRule="auto" w:line="240"/>
        <w:ind w:hanging="0" w:left="0"/>
        <w:jc w:val="both"/>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759450" cy="3272790"/>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59450" cy="3272790"/>
                    </a:xfrm>
                    <a:prstGeom prst="rect">
                      <a:avLst/>
                    </a:prstGeom>
                  </pic:spPr>
                </pic:pic>
              </a:graphicData>
            </a:graphic>
          </wp:anchor>
        </w:drawing>
      </w:r>
      <w:r>
        <w:rPr>
          <w:rStyle w:val="normaltextrun"/>
          <w:color w:val="000000"/>
          <w:shd w:fill="FFFFFF" w:val="clear"/>
        </w:rPr>
        <w:t>Figura 7. README do pacote bacenR em sua versão estável</w:t>
      </w:r>
    </w:p>
    <w:p>
      <w:pPr>
        <w:pStyle w:val="ListParagraph"/>
        <w:spacing w:lineRule="auto" w:line="240"/>
        <w:ind w:hanging="0" w:left="0"/>
        <w:jc w:val="both"/>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7"/>
      </w:r>
      <w:r>
        <w:rPr>
          <w:color w:val="000000"/>
          <w:shd w:fill="FFFFFF" w:val="clear"/>
        </w:rPr>
        <w:t>.</w:t>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r>
    </w:p>
    <w:p>
      <w:pPr>
        <w:pStyle w:val="ListParagraph"/>
        <w:spacing w:lineRule="auto" w:line="360"/>
        <w:ind w:firstLine="709" w:left="0"/>
        <w:rPr>
          <w:b/>
          <w:bCs/>
        </w:rPr>
      </w:pPr>
      <w:r>
        <w:rPr>
          <w:b/>
          <w:bCs/>
          <w:color w:val="000000"/>
          <w:shd w:fill="FFFFFF" w:val="clear"/>
        </w:rPr>
        <w:t>get_balance_sheets() e tidy_balance_sheets()</w:t>
      </w:r>
    </w:p>
    <w:p>
      <w:pPr>
        <w:pStyle w:val="ListParagraph"/>
        <w:spacing w:lineRule="auto" w:line="360"/>
        <w:ind w:firstLine="709" w:left="0"/>
        <w:rPr>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8"/>
      </w:r>
      <w:r>
        <w:rPr>
          <w:color w:val="000000"/>
          <w:shd w:fill="FFFFFF" w:val="clear"/>
        </w:rPr>
        <w:t xml:space="preserve"> e tratá-los para que eles possam ser utilizados sem muito esforço pelo usuário. A Figura 8 apresenta a descrição de cada parâmetro utilizado e a Figura 9 apresenta o uso das funções e seus resultados. </w:t>
      </w:r>
    </w:p>
    <w:p>
      <w:pPr>
        <w:pStyle w:val="ListParagraph"/>
        <w:widowControl/>
        <w:suppressAutoHyphens w:val="true"/>
        <w:bidi w:val="0"/>
        <w:spacing w:lineRule="auto" w:line="240" w:before="0" w:after="0"/>
        <w:ind w:hanging="57" w:left="0" w:right="0"/>
        <w:contextualSpacing/>
        <w:jc w:val="both"/>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59450" cy="199199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8. Descrição dos parâmetros da função get_balance_sheets()</w:t>
      </w:r>
    </w:p>
    <w:p>
      <w:pPr>
        <w:pStyle w:val="ListParagraph"/>
        <w:widowControl/>
        <w:suppressAutoHyphens w:val="true"/>
        <w:bidi w:val="0"/>
        <w:spacing w:lineRule="auto" w:line="240" w:before="0" w:after="0"/>
        <w:ind w:hanging="57"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57" w:left="0" w:right="0"/>
        <w:contextualSpacing/>
        <w:jc w:val="both"/>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57" w:left="0" w:right="0"/>
        <w:contextualSpacing/>
        <w:jc w:val="both"/>
        <w:rPr/>
      </w:pP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59450" cy="4826635"/>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9. Resultados das funções get_balance_sheets() e tidy_balance_sheets()</w:t>
      </w:r>
    </w:p>
    <w:p>
      <w:pPr>
        <w:pStyle w:val="ListParagraph"/>
        <w:widowControl/>
        <w:suppressAutoHyphens w:val="true"/>
        <w:bidi w:val="0"/>
        <w:spacing w:lineRule="auto" w:line="240" w:before="0" w:after="0"/>
        <w:ind w:hanging="57"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get_institutions() e tidy_institutions()</w:t>
      </w:r>
    </w:p>
    <w:p>
      <w:pPr>
        <w:pStyle w:val="ListParagraph"/>
        <w:spacing w:lineRule="auto" w:line="360"/>
        <w:ind w:firstLine="709" w:left="0"/>
        <w:rPr>
          <w:rStyle w:val="normaltextrun"/>
          <w:b/>
          <w:bCs/>
          <w:color w:val="000000"/>
          <w:shd w:fill="FFFFFF" w:val="clear"/>
        </w:rPr>
      </w:pPr>
      <w:r>
        <w:rPr>
          <w:b/>
          <w:bCs/>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a primeira baixa informações sobre vários tipos de instituições financeiras cadastradas no Bacen</w:t>
      </w:r>
      <w:r>
        <w:rPr>
          <w:rStyle w:val="FootnoteReference"/>
          <w:color w:val="000000"/>
          <w:shd w:fill="FFFFFF" w:val="clear"/>
        </w:rPr>
        <w:footnoteReference w:id="19"/>
      </w:r>
      <w:r>
        <w:rPr>
          <w:color w:val="000000"/>
          <w:shd w:fill="FFFFFF" w:val="clear"/>
        </w:rPr>
        <w:t>, enquanto a segunda organiza os dados baixados para serem utilizados. A Figura 10 apresenta os parâmetros utilizados para baixar as informações e a Figura 11 apresenta as variáveis obtidas.</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59450" cy="121412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1"/>
                    <a:stretch>
                      <a:fillRect/>
                    </a:stretch>
                  </pic:blipFill>
                  <pic:spPr bwMode="auto">
                    <a:xfrm>
                      <a:off x="0" y="0"/>
                      <a:ext cx="5759450" cy="1214120"/>
                    </a:xfrm>
                    <a:prstGeom prst="rect">
                      <a:avLst/>
                    </a:prstGeom>
                  </pic:spPr>
                </pic:pic>
              </a:graphicData>
            </a:graphic>
          </wp:anchor>
        </w:drawing>
      </w:r>
      <w:r>
        <w:rPr>
          <w:color w:val="000000"/>
          <w:shd w:fill="FFFFFF" w:val="clear"/>
        </w:rPr>
        <w:t>Figura 10. Parâmetros da função get_institutions()</w:t>
      </w:r>
    </w:p>
    <w:p>
      <w:pPr>
        <w:pStyle w:val="ListParagraph"/>
        <w:widowControl/>
        <w:suppressAutoHyphens w:val="true"/>
        <w:bidi w:val="0"/>
        <w:spacing w:lineRule="auto" w:line="240" w:before="0" w:after="0"/>
        <w:ind w:hanging="0" w:left="0" w:right="0"/>
        <w:contextualSpacing/>
        <w:jc w:val="both"/>
        <w:rPr/>
      </w:pPr>
      <w:r>
        <w:rPr>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w:t>
      </w: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59450" cy="160083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11.  Resultados das funções  get_institutions() e tidy_institutions()</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rPr>
        <w:t>get_normative_data() e get_normative_txt()</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12 apresenta um exemplo de seus usos, mostrando quais são as variáveis baixadas.</w:t>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2">
            <wp:simplePos x="0" y="0"/>
            <wp:positionH relativeFrom="column">
              <wp:posOffset>38100</wp:posOffset>
            </wp:positionH>
            <wp:positionV relativeFrom="paragraph">
              <wp:posOffset>2540</wp:posOffset>
            </wp:positionV>
            <wp:extent cx="5759450" cy="1821815"/>
            <wp:effectExtent l="0" t="0" r="0" b="0"/>
            <wp:wrapSquare wrapText="largest"/>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3"/>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12. Resultados das funções get_normative_data() e get_normative_txt().</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É 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 Por isso, caso obtenha erros ao utilizar, é recomendado que reduza o período de abrangência.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get_ifdata_reports e get_ifdata_registry</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20"/>
      </w:r>
      <w:r>
        <w:rPr>
          <w:color w:val="000000"/>
          <w:shd w:fill="FFFFFF" w:val="clear"/>
        </w:rPr>
        <w:t>. Na Figura 13 são apresentados os parâmetros da função get_ifdata_reports.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759450" cy="1367155"/>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4"/>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13. Parâmetros da função  get_ifdata_reports</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14 e na Figura 15.</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rPr>
          <w:color w:val="000000"/>
          <w:shd w:fill="FFFFFF" w:val="clear"/>
        </w:rPr>
        <w:t>F</w:t>
      </w:r>
      <w: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759450" cy="1202055"/>
            <wp:effectExtent l="0" t="0" r="0" b="0"/>
            <wp:wrapSquare wrapText="largest"/>
            <wp:docPr id="1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pic:cNvPicPr>
                      <a:picLocks noChangeAspect="1" noChangeArrowheads="1"/>
                    </pic:cNvPicPr>
                  </pic:nvPicPr>
                  <pic:blipFill>
                    <a:blip r:embed="rId15"/>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widowControl/>
        <w:suppressAutoHyphens w:val="true"/>
        <w:bidi w:val="0"/>
        <w:spacing w:lineRule="auto" w:line="240" w:before="0" w:after="0"/>
        <w:ind w:hanging="0" w:left="0" w:right="0"/>
        <w:contextualSpacing/>
        <w:jc w:val="both"/>
        <w:rPr/>
      </w:pPr>
      <w:r>
        <w:rPr>
          <w:rStyle w:val="normaltextrun"/>
          <w:b w:val="false"/>
          <w:bCs w:val="false"/>
          <w:color w:val="000000"/>
          <w:shd w:fill="FFFFFF" w:val="clear"/>
        </w:rPr>
        <w:t>Fonte: Resultados originais da pesquisa</w:t>
      </w:r>
    </w:p>
    <w:p>
      <w:pPr>
        <w:pStyle w:val="ListParagraph"/>
        <w:widowControl/>
        <w:suppressAutoHyphens w:val="true"/>
        <w:bidi w:val="0"/>
        <w:spacing w:lineRule="auto" w:line="240" w:before="0" w:after="0"/>
        <w:ind w:hanging="0" w:left="0" w:right="0"/>
        <w:contextualSpacing/>
        <w:jc w:val="both"/>
        <w:rPr>
          <w:color w:val="000000"/>
          <w:shd w:fill="FFFFFF" w:val="clear"/>
        </w:rPr>
      </w:pPr>
      <w:r>
        <w:rPr>
          <w:color w:val="000000"/>
          <w:shd w:fill="FFFFFF" w:val="clear"/>
        </w:rPr>
      </w:r>
    </w:p>
    <w:p>
      <w:pPr>
        <w:pStyle w:val="ListParagraph"/>
        <w:widowControl/>
        <w:suppressAutoHyphens w:val="true"/>
        <w:bidi w:val="0"/>
        <w:spacing w:lineRule="auto" w:line="240" w:before="0" w:after="0"/>
        <w:ind w:hanging="0" w:left="0" w:right="0"/>
        <w:contextualSpacing/>
        <w:jc w:val="both"/>
        <w:rPr/>
      </w:pP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59450" cy="102679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6"/>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widowControl/>
        <w:suppressAutoHyphens w:val="true"/>
        <w:bidi w:val="0"/>
        <w:spacing w:lineRule="auto" w:line="240" w:before="0" w:after="0"/>
        <w:ind w:hanging="0" w:left="0" w:right="0"/>
        <w:contextualSpacing/>
        <w:jc w:val="both"/>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w:t>
      </w:r>
      <w:r>
        <w:rPr>
          <w:rStyle w:val="FootnoteReference"/>
          <w:color w:val="000000"/>
          <w:shd w:fill="FFFFFF" w:val="clear"/>
        </w:rPr>
        <w:footnoteReference w:id="21"/>
      </w:r>
      <w:r>
        <w:rPr>
          <w:rStyle w:val="normaltextrun"/>
          <w:color w:val="000000"/>
          <w:shd w:fill="FFFFFF" w:val="clear"/>
        </w:rPr>
        <w:t xml:space="preserve">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rStyle w:val="normaltextrun"/>
          <w:color w:val="000000"/>
          <w:shd w:fill="FFFFFF" w:val="clear"/>
        </w:rPr>
        <w:t>A Figura 16, por fim, mostra um exemplo prático de como é possível obter 10 anos de dados sobre informações da carteira de crédito das instituições financeiras com poucas linhas de código.</w:t>
      </w:r>
    </w:p>
    <w:p>
      <w:pPr>
        <w:pStyle w:val="ListParagraph"/>
        <w:spacing w:lineRule="auto" w:line="360"/>
        <w:ind w:hanging="0" w:left="0"/>
        <w:rPr/>
      </w:pPr>
      <w: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759450" cy="2332355"/>
            <wp:effectExtent l="0" t="0" r="0" b="0"/>
            <wp:wrapSquare wrapText="largest"/>
            <wp:docPr id="1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pic:cNvPicPr>
                      <a:picLocks noChangeAspect="1" noChangeArrowheads="1"/>
                    </pic:cNvPicPr>
                  </pic:nvPicPr>
                  <pic:blipFill>
                    <a:blip r:embed="rId17"/>
                    <a:stretch>
                      <a:fillRect/>
                    </a:stretch>
                  </pic:blipFill>
                  <pic:spPr bwMode="auto">
                    <a:xfrm>
                      <a:off x="0" y="0"/>
                      <a:ext cx="5759450" cy="2332355"/>
                    </a:xfrm>
                    <a:prstGeom prst="rect">
                      <a:avLst/>
                    </a:prstGeom>
                  </pic:spPr>
                </pic:pic>
              </a:graphicData>
            </a:graphic>
          </wp:anchor>
        </w:drawing>
      </w:r>
      <w:r>
        <w:rPr/>
        <w:t>Figura 16. Exemplo de download de 10 anos de informações sobre carteiras de crédito das instituições financeiras</w:t>
      </w:r>
    </w:p>
    <w:p>
      <w:pPr>
        <w:pStyle w:val="ListParagraph"/>
        <w:spacing w:lineRule="auto" w:line="360"/>
        <w:ind w:hanging="0" w:left="0"/>
        <w:rPr/>
      </w:pPr>
      <w: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Tutorial de uso</w:t>
      </w:r>
    </w:p>
    <w:p>
      <w:pPr>
        <w:pStyle w:val="ListParagraph"/>
        <w:spacing w:lineRule="auto" w:line="360"/>
        <w:ind w:hanging="0" w:left="0"/>
        <w:rPr>
          <w:rStyle w:val="normaltextrun"/>
          <w:b w:val="false"/>
          <w:bCs w:val="false"/>
          <w:color w:val="000000"/>
          <w:shd w:fill="FFFFFF" w:val="clear"/>
        </w:rPr>
      </w:pPr>
      <w:r>
        <w:rPr>
          <w:b w:val="false"/>
          <w:bCs w:val="false"/>
          <w:color w:val="000000"/>
          <w:shd w:fill="FFFFFF" w:val="clear"/>
        </w:rPr>
      </w:r>
    </w:p>
    <w:p>
      <w:pPr>
        <w:pStyle w:val="ListParagraph"/>
        <w:spacing w:lineRule="auto" w:line="360"/>
        <w:ind w:firstLine="709" w:left="0"/>
        <w:rPr/>
      </w:pPr>
      <w:r>
        <w:rPr>
          <w:rStyle w:val="normaltextrun"/>
          <w:b w:val="false"/>
          <w:bCs w:val="false"/>
          <w:color w:val="000000"/>
          <w:shd w:fill="FFFFFF" w:val="clear"/>
        </w:rPr>
        <w:t>Desde a data de sua disponibilização no CRAN, 08/03/2026 até o dia 09/04/2026, o pacote havia sido baixado 823 vezes. Como o objetivo de facilitar ainda mais o acesso para pessoas que possuem baixo conhecimento em programação em R, também foi gravado e disponibilizado um vídeo tutorial no youtube</w:t>
      </w:r>
      <w:r>
        <w:rPr>
          <w:rStyle w:val="FootnoteReference"/>
          <w:b w:val="false"/>
          <w:bCs w:val="false"/>
          <w:color w:val="000000"/>
          <w:shd w:fill="FFFFFF" w:val="clear"/>
        </w:rPr>
        <w:footnoteReference w:id="22"/>
      </w:r>
      <w:r>
        <w:rPr>
          <w:rStyle w:val="normaltextrun"/>
          <w:b w:val="false"/>
          <w:bCs w:val="false"/>
          <w:color w:val="000000"/>
          <w:shd w:fill="FFFFFF" w:val="clear"/>
        </w:rPr>
        <w:t xml:space="preserve"> em que é apresentado o pacote e suas funções, que foi postado em 28/03/2026 e em 09/04/2026 já contava com 288 visualizações. </w:t>
      </w:r>
    </w:p>
    <w:p>
      <w:pPr>
        <w:pStyle w:val="ListParagraph"/>
        <w:spacing w:lineRule="auto" w:line="360"/>
        <w:ind w:firstLine="709" w:left="0"/>
        <w:rPr/>
      </w:pPr>
      <w:r>
        <w:rPr>
          <w:rStyle w:val="normaltextrun"/>
          <w:b w:val="false"/>
          <w:bCs w:val="false"/>
          <w:color w:val="000000"/>
          <w:shd w:fill="FFFFFF" w:val="clear"/>
        </w:rPr>
        <w:t>Essa quantidade de downloads e acesso ao vídeo tutorial mostra que existe um público interessado em utilizar esses dados, sendo esse um indício de sua importância para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color w:val="000000"/>
          <w:shd w:fill="FFFFFF" w:val="clear"/>
        </w:rPr>
        <w:t>Possibilidades de pesquisas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Com essas funções do pacote bacenR, as possibilidades de pesquisas e análises de dados são diversas. É possível pensar em algumas pesquisas, como: em quais estados estão localizados os maiores bancos? Quais cidades possuem mais bancos? Em quais cidades estão abrindo mais filiais bancárias? Qual a relação entre bancos e cooperativas por cidade? Qual a idade média de cada instituição? Em qual estado estão se criando mais instituições e qual o tipo delas? Quais instituições estão crescendo mais com o passar do tempo? Esse crescimento, no número de filiais, ativos ou quantidade de operações, está em algum quartil específico? Em alguma região específica? Durante qual período houve maior crescimento? Bancos e cooperativas de crédito possuem as mesmas carteiras de crédito? Quais as diferenças? Isso difere por região ou idade da instituição? Quais marcos regulatórios podem explicar esses dados? Dentre outras. </w:t>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Essas pesquisas se mostram importantes para formuladores de políticas públicas possam direcionar a regulação para locais e instituições que mais precisem, afim de garantir o desenvolvimento do sistema financeiro nacional e a segurança para os consumidor. </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spacing w:lineRule="auto" w:line="360"/>
        <w:ind w:left="0"/>
        <w:rPr>
          <w:b/>
        </w:rPr>
      </w:pPr>
      <w:r>
        <w:rPr>
          <w:b/>
        </w:rPr>
      </w:r>
    </w:p>
    <w:p>
      <w:pPr>
        <w:pStyle w:val="ListParagraph"/>
        <w:widowControl/>
        <w:suppressAutoHyphens w:val="true"/>
        <w:bidi w:val="0"/>
        <w:spacing w:lineRule="auto" w:line="360" w:before="0" w:after="0"/>
        <w:ind w:firstLine="737" w:left="0" w:right="0"/>
        <w:contextualSpacing/>
        <w:jc w:val="both"/>
        <w:rPr/>
      </w:pPr>
      <w:r>
        <w:rPr/>
        <w:t>O pacote bacenR se mostrou útil, permitindo que o usuário colete e trate diversos dados diferentes fornecidos pelo Bacen. Com poucas linhas de código é possível baixar uma quantidade expressiva de dados, de vários anos de uma única vez, permitindo análises espaciais e temporais, 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Ainda existe espaço para melhorias no pacote, como melhorar as mensagens de erros e avisos, melhorar textos dos vignettes das funções, trazer um dicionário nativo para alguns dados,  tratar dados baixados pelo IFdata, além de outras funções para coletar novos dados. Outro ponto é a criação de uma interface em shiny para que usuários sem conhecimento de programação possam baixar os dados de uma forma simples.</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240"/>
        <w:jc w:val="left"/>
        <w:rPr>
          <w:rStyle w:val="Hyperlink"/>
          <w:i/>
          <w:i/>
          <w:iCs/>
          <w:lang w:val="en-US"/>
        </w:rPr>
      </w:pPr>
      <w:r>
        <w:rPr>
          <w:lang w:val="en-US"/>
        </w:rPr>
        <w:t xml:space="preserve">Almeida, L.V., Reis-Cunha, J.L., Bartholomeu, D.C. (2024), dgfr: an R package to assess sequence diversity of gene families. </w:t>
      </w:r>
      <w:r>
        <w:rPr>
          <w:i/>
          <w:iCs/>
          <w:lang w:val="en-US"/>
        </w:rPr>
        <w:t xml:space="preserve">BMC Bioinformatic. 25:207. </w:t>
      </w:r>
      <w:hyperlink r:id="rId18">
        <w:r>
          <w:rPr>
            <w:rStyle w:val="Hyperlink"/>
            <w:i/>
            <w:iCs/>
            <w:lang w:val="en-US"/>
          </w:rPr>
          <w:t>https://doi.org/10.1186/s12859-024-05826-2</w:t>
        </w:r>
      </w:hyperlink>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Arel-Bundock, V., Greifer, N., Heiss, A. (2024). How to Interpret Statistical Models Using marginaleffects for R and Python. </w:t>
      </w:r>
      <w:r>
        <w:rPr>
          <w:i/>
          <w:iCs/>
          <w:lang w:val="en-US"/>
        </w:rPr>
        <w:t>Journal of Statistical Software</w:t>
      </w:r>
      <w:r>
        <w:rPr>
          <w:lang w:val="en-US"/>
        </w:rPr>
        <w:t xml:space="preserve">. V11. </w:t>
      </w:r>
      <w:hyperlink r:id="rId19">
        <w:r>
          <w:rPr>
            <w:rStyle w:val="Hyperlink"/>
            <w:lang w:val="en-US"/>
          </w:rPr>
          <w:t>http://10.18637/jss.v111.i09</w:t>
        </w:r>
      </w:hyperlink>
      <w:hyperlink r:id="rId20">
        <w:r>
          <w:rPr>
            <w:rStyle w:val="Hyperlink"/>
            <w:lang w:val="en-US"/>
          </w:rPr>
          <w:t>1</w:t>
        </w:r>
      </w:hyperlink>
    </w:p>
    <w:p>
      <w:pPr>
        <w:pStyle w:val="Normal"/>
        <w:spacing w:lineRule="auto" w:line="240"/>
        <w:jc w:val="left"/>
        <w:rPr>
          <w:lang w:val="en-US"/>
        </w:rPr>
      </w:pPr>
      <w:r>
        <w:rPr>
          <w:lang w:val="en-US"/>
        </w:rPr>
      </w:r>
    </w:p>
    <w:p>
      <w:pPr>
        <w:pStyle w:val="Normal"/>
        <w:spacing w:lineRule="auto" w:line="240"/>
        <w:jc w:val="left"/>
        <w:rPr/>
      </w:pPr>
      <w:r>
        <w:rPr>
          <w:lang w:val="en-US"/>
        </w:rPr>
        <w:t xml:space="preserve">Bhatt A. (2023). Data quality - The foundation of real-world studies. </w:t>
      </w:r>
      <w:r>
        <w:rPr/>
        <w:t xml:space="preserve">Perspect Clin Res.;14(2):92-94. Doi: </w:t>
      </w:r>
      <w:r>
        <w:rPr>
          <w:rStyle w:val="Hyperlink"/>
        </w:rPr>
        <w:t>https://doi.org/10.4103/picr.picr_12_23</w:t>
      </w:r>
    </w:p>
    <w:p>
      <w:pPr>
        <w:pStyle w:val="Normal"/>
        <w:spacing w:lineRule="auto" w:line="240"/>
        <w:jc w:val="left"/>
        <w:rPr/>
      </w:pPr>
      <w:r>
        <w:rPr/>
      </w:r>
    </w:p>
    <w:p>
      <w:pPr>
        <w:pStyle w:val="Normal"/>
        <w:spacing w:lineRule="auto" w:line="240"/>
        <w:jc w:val="left"/>
        <w:rPr/>
      </w:pPr>
      <w:r>
        <w:rPr/>
        <w:t xml:space="preserve">Bressan, V. G. F., Souza, G. H. D., Santos, M. H. S., &amp; Braga, M. J. (2023). Cooperativas de crédito e competitividade no mercado financeiro brasileiro: uma análise das taxas de juros. </w:t>
      </w:r>
      <w:r>
        <w:rPr>
          <w:i/>
        </w:rPr>
        <w:t>Revista De Gestão E Organizações Cooperativas</w:t>
      </w:r>
      <w:r>
        <w:rPr/>
        <w:t xml:space="preserve">, </w:t>
      </w:r>
      <w:r>
        <w:rPr>
          <w:i/>
        </w:rPr>
        <w:t>10</w:t>
      </w:r>
      <w:r>
        <w:rPr/>
        <w:t xml:space="preserve">(19), e68474. </w:t>
      </w:r>
      <w:r>
        <w:rPr>
          <w:rStyle w:val="Hyperlink"/>
        </w:rPr>
        <w:t>https://doi.org/10.5902/2359043268474</w:t>
      </w:r>
    </w:p>
    <w:p>
      <w:pPr>
        <w:pStyle w:val="Normal"/>
        <w:spacing w:lineRule="auto" w:line="240"/>
        <w:jc w:val="left"/>
        <w:rPr/>
      </w:pPr>
      <w:r>
        <w:rPr/>
      </w:r>
    </w:p>
    <w:p>
      <w:pPr>
        <w:pStyle w:val="Normal"/>
        <w:spacing w:lineRule="auto" w:line="240"/>
        <w:jc w:val="left"/>
        <w:rPr/>
      </w:pPr>
      <w:r>
        <w:rPr/>
        <w:t xml:space="preserve">Canassa, B. J., Zancan, F., &amp; de Moura Costa, D. R. (2022). Quadro Social e Ciclo de Vida de Cooperativas: Evidências em Cooperativas de Crédito Brasileiras. </w:t>
      </w:r>
      <w:r>
        <w:rPr>
          <w:i/>
        </w:rPr>
        <w:t>Contabilidade Gestão E Governança</w:t>
      </w:r>
      <w:r>
        <w:rPr/>
        <w:t xml:space="preserve">, </w:t>
      </w:r>
      <w:r>
        <w:rPr>
          <w:i/>
        </w:rPr>
        <w:t>25</w:t>
      </w:r>
      <w:r>
        <w:rPr/>
        <w:t xml:space="preserve">(1), 43–59. </w:t>
      </w:r>
      <w:r>
        <w:rPr>
          <w:rStyle w:val="Hyperlink"/>
        </w:rPr>
        <w:t>https://doi.org/10.51341/1984-3925_2022v25n1a3</w:t>
      </w:r>
    </w:p>
    <w:p>
      <w:pPr>
        <w:pStyle w:val="Normal"/>
        <w:spacing w:lineRule="auto" w:line="240"/>
        <w:jc w:val="left"/>
        <w:rPr/>
      </w:pPr>
      <w:r>
        <w:rPr/>
      </w:r>
    </w:p>
    <w:p>
      <w:pPr>
        <w:pStyle w:val="Normal"/>
        <w:spacing w:lineRule="auto" w:line="240"/>
        <w:jc w:val="left"/>
        <w:rPr>
          <w:lang w:val="en-US"/>
        </w:rPr>
      </w:pPr>
      <w:r>
        <w:rPr/>
        <w:t xml:space="preserve">Canassa, B., Costa, D., &amp; Bonacim, C. (2022). Transformações na estrutura de propriedade em cooperativas de crédito: Taxas de serviços bancários e expectativas de membros e diretores. </w:t>
      </w:r>
      <w:r>
        <w:rPr>
          <w:rStyle w:val="Emphasis"/>
          <w:lang w:val="en-US"/>
        </w:rPr>
        <w:t>Brazilian Business Review, 19</w:t>
      </w:r>
      <w:r>
        <w:rPr>
          <w:lang w:val="en-US"/>
        </w:rPr>
        <w:t xml:space="preserve">(6), 607–625. </w:t>
      </w:r>
      <w:r>
        <w:rPr>
          <w:rStyle w:val="Hyperlink"/>
          <w:lang w:val="en-US"/>
        </w:rPr>
        <w:t>https://doi.org/10.15728/bbr.2022.19.6.2.pt</w:t>
      </w:r>
    </w:p>
    <w:p>
      <w:pPr>
        <w:pStyle w:val="Normal"/>
        <w:spacing w:lineRule="auto" w:line="240"/>
        <w:jc w:val="left"/>
        <w:rPr>
          <w:lang w:val="en-US"/>
        </w:rPr>
      </w:pPr>
      <w:r>
        <w:rPr>
          <w:lang w:val="en-US"/>
        </w:rPr>
      </w:r>
    </w:p>
    <w:p>
      <w:pPr>
        <w:pStyle w:val="Normal"/>
        <w:spacing w:lineRule="auto" w:line="240"/>
        <w:jc w:val="left"/>
        <w:rPr>
          <w:lang w:val="en-US"/>
        </w:rPr>
      </w:pPr>
      <w:r>
        <w:rPr/>
        <w:t xml:space="preserve">Costa Ferreira P, </w:t>
      </w:r>
      <w:r>
        <w:rPr>
          <w:lang w:val="en-US"/>
        </w:rPr>
        <w:t xml:space="preserve">Speranza T, Costa J  (2018). BETS: Brazilian Economic Time Series. </w:t>
      </w:r>
      <w:hyperlink r:id="rId21">
        <w:r>
          <w:rPr>
            <w:rStyle w:val="Hyperlink"/>
            <w:lang w:val="en-US"/>
          </w:rPr>
          <w:t>doi:10.32614/CRAN.package.BETS</w:t>
        </w:r>
      </w:hyperlink>
    </w:p>
    <w:p>
      <w:pPr>
        <w:pStyle w:val="Normal"/>
        <w:spacing w:lineRule="auto" w:line="240"/>
        <w:jc w:val="left"/>
        <w:rPr>
          <w:lang w:val="en-US"/>
        </w:rPr>
      </w:pPr>
      <w:r>
        <w:rPr>
          <w:lang w:val="en-US"/>
        </w:rPr>
      </w:r>
    </w:p>
    <w:p>
      <w:pPr>
        <w:pStyle w:val="Normal"/>
        <w:spacing w:lineRule="auto" w:line="240"/>
        <w:jc w:val="left"/>
        <w:rPr>
          <w:lang w:val="en-US"/>
        </w:rPr>
      </w:pPr>
      <w:r>
        <w:rPr>
          <w:lang w:val="en-US"/>
        </w:rPr>
        <w:t>Freitas W (2024). rbcb: R Interface to Brazilian Central Bank Web Services. doi:10.32614/CRAN.package.rbcb</w:t>
      </w:r>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Grolemund, G. (2014). </w:t>
      </w:r>
      <w:r>
        <w:rPr>
          <w:i/>
          <w:lang w:val="en-US"/>
        </w:rPr>
        <w:t>Hands-On Programming with R: Write Your Own Functions and Simulations</w:t>
      </w:r>
      <w:r>
        <w:rPr>
          <w:lang w:val="en-US"/>
        </w:rPr>
        <w:t>. O’Reilly Media.</w:t>
      </w:r>
    </w:p>
    <w:p>
      <w:pPr>
        <w:pStyle w:val="Normal"/>
        <w:spacing w:lineRule="auto" w:line="240"/>
        <w:jc w:val="left"/>
        <w:rPr>
          <w:lang w:val="en-US"/>
        </w:rPr>
      </w:pPr>
      <w:r>
        <w:rPr>
          <w:lang w:val="en-US"/>
        </w:rPr>
      </w:r>
    </w:p>
    <w:p>
      <w:pPr>
        <w:pStyle w:val="Normal"/>
        <w:spacing w:lineRule="auto" w:line="240"/>
        <w:jc w:val="left"/>
        <w:rPr/>
      </w:pPr>
      <w:r>
        <w:rPr>
          <w:lang w:val="en-US"/>
        </w:rPr>
        <w:t xml:space="preserve">Hackman, L., Mack, P., &amp; Ménard, H. (2024). Behind every good research there are data: What are they and their importance to forensic science. </w:t>
      </w:r>
      <w:r>
        <w:rPr>
          <w:rStyle w:val="Emphasis"/>
        </w:rPr>
        <w:t>Forensic Science International: Synergy, 8</w:t>
      </w:r>
      <w:r>
        <w:rPr/>
        <w:t xml:space="preserve">, 100456. </w:t>
      </w:r>
      <w:r>
        <w:rPr>
          <w:rStyle w:val="Hyperlink"/>
        </w:rPr>
        <w:t>https://doi.org/10.1016/j.fsisyn.2024.100456</w:t>
      </w:r>
    </w:p>
    <w:p>
      <w:pPr>
        <w:pStyle w:val="Normal"/>
        <w:spacing w:lineRule="auto" w:line="240"/>
        <w:jc w:val="left"/>
        <w:rPr/>
      </w:pPr>
      <w:r>
        <w:rPr/>
      </w:r>
    </w:p>
    <w:p>
      <w:pPr>
        <w:pStyle w:val="Normal"/>
        <w:spacing w:lineRule="auto" w:line="240"/>
        <w:jc w:val="left"/>
        <w:rPr>
          <w:lang w:val="en-US"/>
        </w:rPr>
      </w:pPr>
      <w:r>
        <w:rPr/>
        <w:t xml:space="preserve">Icaro P, Sousa L, Ferreira da Silva F  (2025). </w:t>
      </w:r>
      <w:r>
        <w:rPr>
          <w:lang w:val="en-US"/>
        </w:rPr>
        <w:t xml:space="preserve">BacenAPI: Data Collection from the Central Bank of Brazil. </w:t>
      </w:r>
      <w:hyperlink r:id="rId22">
        <w:r>
          <w:rPr>
            <w:rStyle w:val="Hyperlink"/>
            <w:lang w:val="en-US"/>
          </w:rPr>
          <w:t>doi:10.32614/CRAN.package.BacenAPI</w:t>
        </w:r>
      </w:hyperlink>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Marwick, B., Boettiger, C., and Mullen, L. (2018a). “Packaging Data Analytical Work Reproducibly Using r (and Friends).” </w:t>
      </w:r>
      <w:r>
        <w:rPr>
          <w:rStyle w:val="Emphasis"/>
          <w:lang w:val="en-US"/>
        </w:rPr>
        <w:t>The American Statistician</w:t>
      </w:r>
      <w:r>
        <w:rPr>
          <w:lang w:val="en-US"/>
        </w:rPr>
        <w:t xml:space="preserve"> 72 (1): 80–88. </w:t>
      </w:r>
      <w:hyperlink r:id="rId23">
        <w:r>
          <w:rPr>
            <w:rStyle w:val="Hyperlink"/>
            <w:lang w:val="en-US"/>
          </w:rPr>
          <w:t>https://doi.org/10.1080/00031305.2017.1375986</w:t>
        </w:r>
      </w:hyperlink>
      <w:r>
        <w:rPr>
          <w:lang w:val="en-US"/>
        </w:rPr>
        <w:t xml:space="preserve">. </w:t>
      </w:r>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Marwick, B., Boettiger, C., and Mullen, L. (2018b). “Packaging Data Analytical Work Reproducibly Using r (and Friends).” </w:t>
      </w:r>
      <w:r>
        <w:rPr>
          <w:rStyle w:val="Emphasis"/>
          <w:lang w:val="en-US"/>
        </w:rPr>
        <w:t>PeerJ Preprints</w:t>
      </w:r>
      <w:r>
        <w:rPr>
          <w:lang w:val="en-US"/>
        </w:rPr>
        <w:t xml:space="preserve"> 6 (March): e3192v2. </w:t>
      </w:r>
      <w:hyperlink r:id="rId24">
        <w:r>
          <w:rPr>
            <w:rStyle w:val="Hyperlink"/>
            <w:lang w:val="en-US"/>
          </w:rPr>
          <w:t>https://doi.org/10.7287/peerj.preprints.3192v2</w:t>
        </w:r>
      </w:hyperlink>
      <w:r>
        <w:rPr>
          <w:lang w:val="en-US"/>
        </w:rPr>
        <w:t xml:space="preserve">. </w:t>
      </w:r>
    </w:p>
    <w:p>
      <w:pPr>
        <w:pStyle w:val="Normal"/>
        <w:spacing w:lineRule="auto" w:line="240"/>
        <w:jc w:val="left"/>
        <w:rPr>
          <w:rStyle w:val="Emphasis"/>
          <w:lang w:val="en-US"/>
        </w:rPr>
      </w:pPr>
      <w:r>
        <w:rPr>
          <w:lang w:val="en-US"/>
        </w:rPr>
        <w:t xml:space="preserve">Olmsted, J. (2024). Research reliability and validity: Why do they matter? </w:t>
      </w:r>
      <w:r>
        <w:rPr>
          <w:rStyle w:val="Emphasis"/>
          <w:lang w:val="en-US"/>
        </w:rPr>
        <w:t xml:space="preserve">Journal of Dental </w:t>
      </w:r>
    </w:p>
    <w:p>
      <w:pPr>
        <w:pStyle w:val="Normal"/>
        <w:spacing w:lineRule="auto" w:line="240"/>
        <w:jc w:val="left"/>
        <w:rPr>
          <w:lang w:val="en-US"/>
        </w:rPr>
      </w:pPr>
      <w:r>
        <w:rPr>
          <w:rStyle w:val="Emphasis"/>
          <w:lang w:val="en-US"/>
        </w:rPr>
        <w:t>Hygiene, 98</w:t>
      </w:r>
      <w:r>
        <w:rPr>
          <w:lang w:val="en-US"/>
        </w:rPr>
        <w:t>(6), 53–57.</w:t>
      </w:r>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Paton, N. (2019). Automating Data Preparation: Can We? Should We? Must We? In </w:t>
      </w:r>
      <w:r>
        <w:rPr>
          <w:rStyle w:val="Emphasis"/>
          <w:lang w:val="en-US"/>
        </w:rPr>
        <w:t xml:space="preserve">Proceedings of the 21st International Workshop on Design, Optimization, Languages and Analytical Processing of Big Data </w:t>
      </w:r>
      <w:r>
        <w:rPr>
          <w:rStyle w:val="Hyperlink"/>
          <w:lang w:val="en-US"/>
        </w:rPr>
        <w:t>http://ceur-ws.org/Vol-2324/Paper00-InvTalk2-NPaton.pdf</w:t>
      </w:r>
    </w:p>
    <w:p>
      <w:pPr>
        <w:pStyle w:val="Normal"/>
        <w:spacing w:lineRule="auto" w:line="240"/>
        <w:jc w:val="left"/>
        <w:rPr>
          <w:lang w:val="en-US"/>
        </w:rPr>
      </w:pPr>
      <w:r>
        <w:rPr>
          <w:lang w:val="en-US"/>
        </w:rPr>
      </w:r>
    </w:p>
    <w:p>
      <w:pPr>
        <w:pStyle w:val="Normal"/>
        <w:spacing w:lineRule="auto" w:line="240"/>
        <w:jc w:val="left"/>
        <w:rPr/>
      </w:pPr>
      <w:r>
        <w:rPr/>
        <w:t xml:space="preserve">Santos, A. G. V., Alves, J. J. M., Pinto, D. S. A., &amp; Ferreira, P. C. A. (2025). A Importância Da Limpeza E Qualidade Na Análise De Dados: O Papel De Ferramentas Como O Power Bi. </w:t>
      </w:r>
      <w:r>
        <w:rPr>
          <w:i/>
        </w:rPr>
        <w:t>Revista Foco</w:t>
      </w:r>
      <w:r>
        <w:rPr/>
        <w:t xml:space="preserve">, </w:t>
      </w:r>
      <w:r>
        <w:rPr>
          <w:i/>
        </w:rPr>
        <w:t>18</w:t>
      </w:r>
      <w:r>
        <w:rPr/>
        <w:t xml:space="preserve">(11), e10458. </w:t>
      </w:r>
      <w:hyperlink r:id="rId25">
        <w:r>
          <w:rPr>
            <w:rStyle w:val="Hyperlink"/>
          </w:rPr>
          <w:t>https://doi.org/10.54751/revistafoco.v18n11-083</w:t>
        </w:r>
      </w:hyperlink>
    </w:p>
    <w:p>
      <w:pPr>
        <w:pStyle w:val="Normal"/>
        <w:spacing w:lineRule="auto" w:line="240"/>
        <w:jc w:val="left"/>
        <w:rPr/>
      </w:pPr>
      <w:r>
        <w:rPr/>
      </w:r>
    </w:p>
    <w:p>
      <w:pPr>
        <w:pStyle w:val="Normal"/>
        <w:spacing w:lineRule="auto" w:line="240"/>
        <w:jc w:val="left"/>
        <w:rPr/>
      </w:pPr>
      <w:r>
        <w:rPr/>
        <w:t xml:space="preserve">Silge, J., Nash, J. C. and Graves, S. (2018). </w:t>
      </w:r>
      <w:r>
        <w:rPr>
          <w:lang w:val="en-US"/>
        </w:rPr>
        <w:t xml:space="preserve">“Navigating the R Package Universe.” </w:t>
      </w:r>
      <w:r>
        <w:rPr>
          <w:rStyle w:val="Emphasis"/>
        </w:rPr>
        <w:t>The R Journal</w:t>
      </w:r>
      <w:r>
        <w:rPr/>
        <w:t xml:space="preserve"> 10 (2): 558–63. </w:t>
      </w:r>
      <w:hyperlink r:id="rId26">
        <w:r>
          <w:rPr>
            <w:rStyle w:val="Hyperlink"/>
          </w:rPr>
          <w:t>https://doi.org/10.32614/RJ-2018-058</w:t>
        </w:r>
      </w:hyperlink>
      <w:r>
        <w:rPr/>
        <w:t xml:space="preserve">. </w:t>
      </w:r>
    </w:p>
    <w:p>
      <w:pPr>
        <w:pStyle w:val="Normal"/>
        <w:spacing w:lineRule="auto" w:line="240"/>
        <w:jc w:val="left"/>
        <w:rPr/>
      </w:pPr>
      <w:r>
        <w:rPr/>
      </w:r>
    </w:p>
    <w:p>
      <w:pPr>
        <w:pStyle w:val="Normal"/>
        <w:spacing w:lineRule="auto" w:line="240"/>
        <w:jc w:val="left"/>
        <w:rPr/>
      </w:pPr>
      <w:r>
        <w:rPr/>
        <w:t xml:space="preserve">Theodoro, R., Bonacim, C. A. G., &amp; de Moura Costa, D. R. (2021). Identificação de Ações Discricionárias do Gestor em Cooperativas de Crédito: Uma aplicação da Lei de Benford. </w:t>
      </w:r>
      <w:r>
        <w:rPr>
          <w:i/>
        </w:rPr>
        <w:t>Contabilidade Gestão E Governança</w:t>
      </w:r>
      <w:r>
        <w:rPr/>
        <w:t xml:space="preserve">, </w:t>
      </w:r>
      <w:r>
        <w:rPr>
          <w:i/>
        </w:rPr>
        <w:t>24</w:t>
      </w:r>
      <w:r>
        <w:rPr/>
        <w:t xml:space="preserve">(3), 331–348. </w:t>
      </w:r>
      <w:r>
        <w:rPr>
          <w:rStyle w:val="Hyperlink"/>
        </w:rPr>
        <w:t>https://doi.org/10.51341/1984-3925_2021v24n3a5</w:t>
      </w:r>
    </w:p>
    <w:p>
      <w:pPr>
        <w:pStyle w:val="Normal"/>
        <w:spacing w:lineRule="auto" w:line="240"/>
        <w:jc w:val="left"/>
        <w:rPr/>
      </w:pPr>
      <w:r>
        <w:rPr/>
      </w:r>
    </w:p>
    <w:p>
      <w:pPr>
        <w:pStyle w:val="Normal"/>
        <w:spacing w:lineRule="auto" w:line="240"/>
        <w:jc w:val="left"/>
        <w:rPr>
          <w:lang w:val="en-US"/>
        </w:rPr>
      </w:pPr>
      <w:r>
        <w:rPr>
          <w:lang w:val="en-US"/>
        </w:rPr>
        <w:t xml:space="preserve">Theodoro, R. (2026). </w:t>
      </w:r>
      <w:r>
        <w:rPr>
          <w:rStyle w:val="Cdigo-fonte"/>
          <w:rFonts w:cs="Arial"/>
          <w:lang w:val="en-US"/>
        </w:rPr>
        <w:t xml:space="preserve">bacenR: Access Data from Brazilian Central Bank - IFdata, Active Institutions, Balance Sheets and Normative Acts. v.0.3.1. </w:t>
      </w:r>
      <w:hyperlink r:id="rId27">
        <w:r>
          <w:rPr>
            <w:rStyle w:val="Hyperlink"/>
            <w:rFonts w:eastAsia="Liberation Mono"/>
            <w:lang w:val="en-US"/>
          </w:rPr>
          <w:t>https://10.32614/CRAN.package.bacenR</w:t>
        </w:r>
      </w:hyperlink>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Wickham, H. (2021). </w:t>
      </w:r>
      <w:r>
        <w:rPr>
          <w:i/>
          <w:lang w:val="en-US"/>
        </w:rPr>
        <w:t>Mastering Shiny: Build Interactive Apps, Reports, and Dashboards Powered by R</w:t>
      </w:r>
      <w:r>
        <w:rPr>
          <w:lang w:val="en-US"/>
        </w:rPr>
        <w:t>. O’Reilly Media.</w:t>
      </w:r>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Wickham, H., &amp; Bryan, J. (2023). </w:t>
      </w:r>
      <w:r>
        <w:rPr>
          <w:i/>
          <w:lang w:val="en-US"/>
        </w:rPr>
        <w:t>R Packages: Organize, Test, Document, and Share Your Code</w:t>
      </w:r>
      <w:r>
        <w:rPr>
          <w:lang w:val="en-US"/>
        </w:rPr>
        <w:t>. O’Reilly Media.</w:t>
      </w:r>
    </w:p>
    <w:p>
      <w:pPr>
        <w:pStyle w:val="Normal"/>
        <w:spacing w:lineRule="auto" w:line="240"/>
        <w:jc w:val="left"/>
        <w:rPr>
          <w:lang w:val="en-US"/>
        </w:rPr>
      </w:pPr>
      <w:r>
        <w:rPr>
          <w:lang w:val="en-US"/>
        </w:rPr>
      </w:r>
    </w:p>
    <w:p>
      <w:pPr>
        <w:pStyle w:val="Normal"/>
        <w:spacing w:lineRule="auto" w:line="240"/>
        <w:jc w:val="left"/>
        <w:rPr>
          <w:lang w:val="en-US"/>
        </w:rPr>
      </w:pPr>
      <w:r>
        <w:rPr>
          <w:lang w:val="en-US"/>
        </w:rPr>
        <w:t xml:space="preserve">Wickham, H., Cetinkaya-Rundel, M., &amp; Grolemund, G. (2023). </w:t>
      </w:r>
      <w:r>
        <w:rPr>
          <w:i/>
          <w:lang w:val="en-US"/>
        </w:rPr>
        <w:t>R for Data Science: Import, Tidy, Transform, Visualize, and Model Data</w:t>
      </w:r>
      <w:r>
        <w:rPr>
          <w:lang w:val="en-US"/>
        </w:rPr>
        <w:t>. O’Reilly Media.</w:t>
      </w:r>
    </w:p>
    <w:p>
      <w:pPr>
        <w:pStyle w:val="Normal"/>
        <w:spacing w:lineRule="auto" w:line="240"/>
        <w:jc w:val="left"/>
        <w:rPr>
          <w:lang w:val="en-US"/>
        </w:rPr>
      </w:pPr>
      <w:r>
        <w:rPr>
          <w:lang w:val="en-US"/>
        </w:rPr>
      </w:r>
    </w:p>
    <w:sectPr>
      <w:headerReference w:type="even" r:id="rId28"/>
      <w:headerReference w:type="default" r:id="rId29"/>
      <w:headerReference w:type="first" r:id="rId30"/>
      <w:footerReference w:type="even" r:id="rId31"/>
      <w:footerReference w:type="default" r:id="rId32"/>
      <w:footerReference w:type="first" r:id="rId33"/>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altName w:val="sans-serif"/>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20</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20</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widowControl/>
        <w:suppressLineNumbers/>
        <w:suppressAutoHyphens w:val="true"/>
        <w:bidi w:val="0"/>
        <w:spacing w:lineRule="auto" w:line="276" w:before="0" w:after="0"/>
        <w:ind w:hanging="0" w:left="0" w:right="0"/>
        <w:jc w:val="both"/>
        <w:rPr/>
      </w:pPr>
      <w:r>
        <w:rPr>
          <w:rStyle w:val="Caracteresdenotaderodap"/>
        </w:rPr>
        <w:footnoteRef/>
      </w:r>
      <w:r>
        <w:rPr/>
        <w:t>Obtido através do pacote capesR, com os termos (banco|bancos|cooperativa de crédito|cooperativas de crédito) e (balanco?s?|balancete?s?|indicadores financeiros|desempenho), nos títulos ou resumos.</w:t>
      </w:r>
    </w:p>
  </w:footnote>
  <w:footnote w:id="3">
    <w:p>
      <w:pPr>
        <w:pStyle w:val="FootnoteText"/>
        <w:rPr/>
      </w:pPr>
      <w:r>
        <w:rPr>
          <w:rStyle w:val="Caracteresdenotaderodap"/>
        </w:rPr>
        <w:footnoteRef/>
      </w:r>
      <w:hyperlink r:id="rId1">
        <w:r>
          <w:rPr>
            <w:rStyle w:val="Hyperlink"/>
          </w:rPr>
          <w:tab/>
          <w:t>https://cran.r-project.org/web/packages/BacenAPI/index.html</w:t>
        </w:r>
      </w:hyperlink>
    </w:p>
  </w:footnote>
  <w:footnote w:id="4">
    <w:p>
      <w:pPr>
        <w:pStyle w:val="FootnoteText"/>
        <w:rPr/>
      </w:pPr>
      <w:r>
        <w:rPr>
          <w:rStyle w:val="Caracteresdenotaderodap"/>
        </w:rPr>
        <w:footnoteRef/>
      </w:r>
      <w:hyperlink r:id="rId2">
        <w:r>
          <w:rPr>
            <w:rStyle w:val="Hyperlink"/>
          </w:rPr>
          <w:tab/>
          <w:t>https://cloud.r-project.org/web/packages/rbcb/index.html</w:t>
        </w:r>
      </w:hyperlink>
    </w:p>
  </w:footnote>
  <w:footnote w:id="5">
    <w:p>
      <w:pPr>
        <w:pStyle w:val="FootnoteText"/>
        <w:rPr/>
      </w:pPr>
      <w:r>
        <w:rPr>
          <w:rStyle w:val="Caracteresdenotaderodap"/>
        </w:rPr>
        <w:footnoteRef/>
      </w:r>
      <w:hyperlink r:id="rId3">
        <w:r>
          <w:rPr>
            <w:rStyle w:val="Hyperlink"/>
          </w:rPr>
          <w:tab/>
          <w:t>https://cran.r-project.org/web/packages/BETS/index.html</w:t>
        </w:r>
      </w:hyperlink>
    </w:p>
  </w:footnote>
  <w:footnote w:id="6">
    <w:p>
      <w:pPr>
        <w:pStyle w:val="FootnoteText"/>
        <w:rPr/>
      </w:pPr>
      <w:r>
        <w:rPr>
          <w:rStyle w:val="Caracteresdenotaderodap"/>
        </w:rPr>
        <w:footnoteRef/>
      </w:r>
      <w:hyperlink r:id="rId4">
        <w:r>
          <w:rPr>
            <w:rStyle w:val="Hyperlink"/>
          </w:rPr>
          <w:tab/>
          <w:t>https://github.com/users/rtheodoro/projects/1</w:t>
        </w:r>
      </w:hyperlink>
    </w:p>
  </w:footnote>
  <w:footnote w:id="7">
    <w:p>
      <w:pPr>
        <w:pStyle w:val="FootnoteText"/>
        <w:rPr/>
      </w:pPr>
      <w:r>
        <w:rPr>
          <w:rStyle w:val="Caracteresdenotaderodap"/>
        </w:rPr>
        <w:footnoteRef/>
      </w:r>
      <w:hyperlink r:id="rId5">
        <w:r>
          <w:rPr>
            <w:rStyle w:val="Hyperlink"/>
          </w:rPr>
          <w:tab/>
          <w:t>https://github.com/rtheodoro/bacenR</w:t>
        </w:r>
      </w:hyperlink>
    </w:p>
  </w:footnote>
  <w:footnote w:id="8">
    <w:p>
      <w:pPr>
        <w:pStyle w:val="FootnoteText"/>
        <w:rPr/>
      </w:pPr>
      <w:r>
        <w:rPr>
          <w:rStyle w:val="Caracteresdenotaderodap"/>
        </w:rPr>
        <w:footnoteRef/>
      </w:r>
      <w:hyperlink r:id="rId6">
        <w:r>
          <w:rPr>
            <w:rStyle w:val="Hyperlink"/>
          </w:rPr>
          <w:tab/>
          <w:t>https://github.com/rtheodoro/bacenR/issues</w:t>
        </w:r>
      </w:hyperlink>
    </w:p>
  </w:footnote>
  <w:footnote w:id="9">
    <w:p>
      <w:pPr>
        <w:pStyle w:val="FootnoteText"/>
        <w:rPr/>
      </w:pPr>
      <w:r>
        <w:rPr>
          <w:rStyle w:val="Caracteresdenotaderodap"/>
        </w:rPr>
        <w:footnoteRef/>
      </w:r>
      <w:hyperlink r:id="rId7">
        <w:r>
          <w:rPr>
            <w:rStyle w:val="Hyperlink"/>
          </w:rPr>
          <w:tab/>
          <w:t>https://www3.bcb.gov.br/ifdata/index2024.html</w:t>
        </w:r>
      </w:hyperlink>
    </w:p>
  </w:footnote>
  <w:footnote w:id="10">
    <w:p>
      <w:pPr>
        <w:pStyle w:val="FootnoteText"/>
        <w:rPr/>
      </w:pPr>
      <w:r>
        <w:rPr>
          <w:rStyle w:val="Caracteresdenotaderodap"/>
        </w:rPr>
        <w:footnoteRef/>
      </w:r>
      <w:hyperlink r:id="rId8">
        <w:r>
          <w:rPr>
            <w:rStyle w:val="Hyperlink"/>
          </w:rPr>
          <w:tab/>
          <w:t>https://cran.r-project.org/</w:t>
        </w:r>
      </w:hyperlink>
    </w:p>
  </w:footnote>
  <w:footnote w:id="11">
    <w:p>
      <w:pPr>
        <w:pStyle w:val="FootnoteText"/>
        <w:rPr/>
      </w:pPr>
      <w:r>
        <w:rPr>
          <w:rStyle w:val="Caracteresdenotaderodap"/>
        </w:rPr>
        <w:footnoteRef/>
      </w:r>
      <w:hyperlink r:id="rId9">
        <w:r>
          <w:rPr>
            <w:rStyle w:val="Hyperlink"/>
          </w:rPr>
          <w:tab/>
          <w:t>https://github.com/users/rtheodoro/projects/1/views/3</w:t>
        </w:r>
      </w:hyperlink>
    </w:p>
  </w:footnote>
  <w:footnote w:id="12">
    <w:p>
      <w:pPr>
        <w:pStyle w:val="FootnoteText"/>
        <w:rPr/>
      </w:pPr>
      <w:r>
        <w:rPr>
          <w:rStyle w:val="Caracteresdenotaderodap"/>
        </w:rPr>
        <w:footnoteRef/>
      </w:r>
      <w:hyperlink r:id="rId10">
        <w:r>
          <w:rPr>
            <w:rStyle w:val="Hyperlink"/>
          </w:rPr>
          <w:tab/>
          <w:t>https://github.com/rtheodoro/bacenR?tab=GPL-3.0-1-ov-file</w:t>
        </w:r>
      </w:hyperlink>
    </w:p>
  </w:footnote>
  <w:footnote w:id="13">
    <w:p>
      <w:pPr>
        <w:pStyle w:val="FootnoteText"/>
        <w:rPr/>
      </w:pPr>
      <w:r>
        <w:rPr>
          <w:rStyle w:val="Caracteresdenotaderodap"/>
        </w:rPr>
        <w:footnoteRef/>
      </w:r>
      <w:hyperlink r:id="rId11">
        <w:r>
          <w:rPr>
            <w:rStyle w:val="Hyperlink"/>
          </w:rPr>
          <w:tab/>
          <w:t>https://github.com/rtheodoro/bacenR?tab=contributing-ov-file</w:t>
        </w:r>
      </w:hyperlink>
    </w:p>
  </w:footnote>
  <w:footnote w:id="14">
    <w:p>
      <w:pPr>
        <w:pStyle w:val="FootnoteText"/>
        <w:rPr/>
      </w:pPr>
      <w:r>
        <w:rPr>
          <w:rStyle w:val="Caracteresdenotaderodap"/>
        </w:rPr>
        <w:footnoteRef/>
      </w:r>
      <w:hyperlink r:id="rId12">
        <w:r>
          <w:rPr>
            <w:rStyle w:val="Hyperlink"/>
          </w:rPr>
          <w:tab/>
          <w:t>https://github.com/rtheodoro/bacenR/blob/main/NEWS.md</w:t>
        </w:r>
      </w:hyperlink>
    </w:p>
  </w:footnote>
  <w:footnote w:id="15">
    <w:p>
      <w:pPr>
        <w:pStyle w:val="FootnoteText"/>
        <w:rPr/>
      </w:pPr>
      <w:r>
        <w:rPr>
          <w:rStyle w:val="Caracteresdenotaderodap"/>
        </w:rPr>
        <w:footnoteRef/>
      </w:r>
      <w:hyperlink r:id="rId13">
        <w:r>
          <w:rPr>
            <w:rStyle w:val="Hyperlink"/>
          </w:rPr>
          <w:tab/>
          <w:t>https://cran.r-project.org/web/packages/bacenR/index.html</w:t>
        </w:r>
      </w:hyperlink>
    </w:p>
  </w:footnote>
  <w:footnote w:id="16">
    <w:p>
      <w:pPr>
        <w:pStyle w:val="FootnoteText"/>
        <w:rPr/>
      </w:pPr>
      <w:r>
        <w:rPr>
          <w:rStyle w:val="Caracteresdenotaderodap"/>
        </w:rPr>
        <w:footnoteRef/>
      </w:r>
      <w:hyperlink r:id="rId14">
        <w:r>
          <w:rPr>
            <w:rStyle w:val="Hyperlink"/>
          </w:rPr>
          <w:tab/>
          <w:t>https://cran.r-project.org/web/packages/bacenR/vignettes/bacenR.html</w:t>
        </w:r>
      </w:hyperlink>
    </w:p>
  </w:footnote>
  <w:footnote w:id="17">
    <w:p>
      <w:pPr>
        <w:pStyle w:val="FootnoteText"/>
        <w:rPr/>
      </w:pPr>
      <w:r>
        <w:rPr>
          <w:rStyle w:val="Caracteresdenotaderodap"/>
        </w:rPr>
        <w:footnoteRef/>
      </w:r>
      <w:r>
        <w:rPr/>
        <w:tab/>
        <w:t>Exemplo: ??get_balance_sheets</w:t>
      </w:r>
    </w:p>
  </w:footnote>
  <w:footnote w:id="18">
    <w:p>
      <w:pPr>
        <w:pStyle w:val="FootnoteText"/>
        <w:rPr/>
      </w:pPr>
      <w:r>
        <w:rPr>
          <w:rStyle w:val="Caracteresdenotaderodap"/>
        </w:rPr>
        <w:footnoteRef/>
      </w:r>
      <w:hyperlink r:id="rId15">
        <w:r>
          <w:rPr>
            <w:rStyle w:val="Hyperlink"/>
          </w:rPr>
          <w:tab/>
          <w:t>https://www.bcb.gov.br/estabilidadefinanceira/balancetesbalancospatrimoniais</w:t>
        </w:r>
      </w:hyperlink>
    </w:p>
  </w:footnote>
  <w:footnote w:id="19">
    <w:p>
      <w:pPr>
        <w:pStyle w:val="FootnoteText"/>
        <w:rPr/>
      </w:pPr>
      <w:r>
        <w:rPr>
          <w:rStyle w:val="Caracteresdenotaderodap"/>
        </w:rPr>
        <w:footnoteRef/>
      </w:r>
      <w:hyperlink r:id="rId16">
        <w:r>
          <w:rPr>
            <w:rStyle w:val="Hyperlink"/>
          </w:rPr>
          <w:tab/>
          <w:t>https://www.bcb.gov.br/estabilidadefinanceira/relacao_instituicoes_funcionamento</w:t>
        </w:r>
      </w:hyperlink>
    </w:p>
  </w:footnote>
  <w:footnote w:id="20">
    <w:p>
      <w:pPr>
        <w:pStyle w:val="FootnoteText"/>
        <w:rPr/>
      </w:pPr>
      <w:r>
        <w:rPr>
          <w:rStyle w:val="Caracteresdenotaderodap"/>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 w:id="21">
    <w:p>
      <w:pPr>
        <w:pStyle w:val="FootnoteText"/>
        <w:rPr/>
      </w:pPr>
      <w:r>
        <w:rPr>
          <w:rStyle w:val="Caracteresdenotaderodap"/>
        </w:rPr>
        <w:footnoteRef/>
      </w:r>
      <w:r>
        <w:fldChar w:fldCharType="begin"/>
      </w:r>
      <w:r>
        <w:rPr>
          <w:rStyle w:val="Hyperlink"/>
        </w:rPr>
        <w:instrText xml:space="preserve"> HYPERLINK "https://olinda.bcb.gov.br/olinda/servico/IFDATA/versao/v1/aplicacao" \l "!/recursos/ListaDeRelatorio%23eyJmb3JtdWxhcmlvIjp7IiRmb3JtYXQiOiJqc29uIiwiJHRvcCI6MTAwfX0="</w:instrText>
      </w:r>
      <w:r>
        <w:rPr>
          <w:rStyle w:val="Hyperlink"/>
        </w:rPr>
        <w:fldChar w:fldCharType="separate"/>
      </w:r>
      <w:r>
        <w:rPr>
          <w:rStyle w:val="Hyperlink"/>
        </w:rPr>
        <w:tab/>
        <w:t>https://olinda.bcb.gov.br/olinda/servico/IFDATA/versao/v1/aplicacao#!/recursos/ListaDeRelatorio#eyJmb3JtdWxhcmlvIjp7IiRmb3JtYXQiOiJqc29uIiwiJHRvcCI6MTAwfX0=</w:t>
      </w:r>
      <w:r>
        <w:rPr>
          <w:rStyle w:val="Hyperlink"/>
        </w:rPr>
        <w:fldChar w:fldCharType="end"/>
      </w:r>
    </w:p>
  </w:footnote>
  <w:footnote w:id="22">
    <w:p>
      <w:pPr>
        <w:pStyle w:val="FootnoteText"/>
        <w:rPr/>
      </w:pPr>
      <w:r>
        <w:rPr>
          <w:rStyle w:val="Caracteresdenotaderodap"/>
        </w:rPr>
        <w:footnoteRef/>
      </w:r>
      <w:hyperlink r:id="rId17">
        <w:r>
          <w:rPr>
            <w:rStyle w:val="Hyperlink"/>
          </w:rPr>
          <w:tab/>
          <w:t>https://www.youtube.com/watch?v=ZkO005LtLXk</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44">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49"/>
              <wp:lineTo x="20984" y="20649"/>
              <wp:lineTo x="20984" y="0"/>
              <wp:lineTo x="-8" y="0"/>
            </wp:wrapPolygon>
          </wp:wrapThrough>
          <wp:docPr id="1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4" wp14:anchorId="34FDC6CC">
              <wp:simplePos x="0" y="0"/>
              <wp:positionH relativeFrom="margin">
                <wp:align>right</wp:align>
              </wp:positionH>
              <wp:positionV relativeFrom="paragraph">
                <wp:posOffset>106680</wp:posOffset>
              </wp:positionV>
              <wp:extent cx="5753100" cy="0"/>
              <wp:effectExtent l="1905" t="1905" r="1905" b="1905"/>
              <wp:wrapNone/>
              <wp:docPr id="18"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44">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49"/>
              <wp:lineTo x="20984" y="20649"/>
              <wp:lineTo x="20984" y="0"/>
              <wp:lineTo x="-8" y="0"/>
            </wp:wrapPolygon>
          </wp:wrapThrough>
          <wp:docPr id="19"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4" wp14:anchorId="34FDC6CC">
              <wp:simplePos x="0" y="0"/>
              <wp:positionH relativeFrom="margin">
                <wp:align>right</wp:align>
              </wp:positionH>
              <wp:positionV relativeFrom="paragraph">
                <wp:posOffset>106680</wp:posOffset>
              </wp:positionV>
              <wp:extent cx="5753100" cy="0"/>
              <wp:effectExtent l="1905" t="1905" r="1905" b="1905"/>
              <wp:wrapNone/>
              <wp:docPr id="20"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9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paragraph" w:styleId="Heading3">
    <w:name w:val="Heading 3"/>
    <w:basedOn w:val="Ttulo"/>
    <w:next w:val="BodyText"/>
    <w:qFormat/>
    <w:pPr>
      <w:spacing w:before="140" w:after="120"/>
      <w:outlineLvl w:val="2"/>
    </w:pPr>
    <w:rPr>
      <w:rFonts w:ascii="Liberation Serif" w:hAnsi="Liberation Serif" w:eastAsia="DejaVu Sans" w:cs="Noto Sans Arabic UI"/>
      <w:b/>
      <w:bCs/>
      <w:sz w:val="28"/>
      <w:szCs w:val="28"/>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character" w:styleId="Cdigo-fonte">
    <w:name w:val="Código-fonte"/>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paragraph" w:styleId="Textoprformatado">
    <w:name w:val="Texto préformatado"/>
    <w:basedOn w:val="Normal"/>
    <w:qFormat/>
    <w:pPr>
      <w:spacing w:before="0" w:after="0"/>
    </w:pPr>
    <w:rPr>
      <w:rFonts w:ascii="Liberation Mono" w:hAnsi="Liberation Mono" w:eastAsia="Liberation Mono" w:cs="Liberation Mono"/>
      <w:sz w:val="20"/>
      <w:szCs w:val="20"/>
    </w:rPr>
  </w:style>
  <w:style w:type="paragraph" w:styleId="Contedodatabela">
    <w:name w:val="Conteúdo da tabela"/>
    <w:basedOn w:val="Normal"/>
    <w:qFormat/>
    <w:pPr>
      <w:widowControl w:val="false"/>
      <w:suppressLineNumbers/>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jpeg"/><Relationship Id="rId18" Type="http://schemas.openxmlformats.org/officeDocument/2006/relationships/hyperlink" Target="https://doi.org/10.1186/s12859-024-05826-2" TargetMode="External"/><Relationship Id="rId19" Type="http://schemas.openxmlformats.org/officeDocument/2006/relationships/hyperlink" Target="http://10.18637/jss.v111.i09" TargetMode="External"/><Relationship Id="rId20" Type="http://schemas.openxmlformats.org/officeDocument/2006/relationships/hyperlink" Target="https://doi.org/10.18637/jss.v111.i09" TargetMode="External"/><Relationship Id="rId21" Type="http://schemas.openxmlformats.org/officeDocument/2006/relationships/hyperlink" Target="doi:10.32614/CRAN.package.BETS" TargetMode="External"/><Relationship Id="rId22" Type="http://schemas.openxmlformats.org/officeDocument/2006/relationships/hyperlink" Target="doi:10.32614/CRAN.package.BacenAPI" TargetMode="External"/><Relationship Id="rId23" Type="http://schemas.openxmlformats.org/officeDocument/2006/relationships/hyperlink" Target="https://doi.org/10.1080/00031305.2017.1375986" TargetMode="External"/><Relationship Id="rId24" Type="http://schemas.openxmlformats.org/officeDocument/2006/relationships/hyperlink" Target="https://doi.org/10.7287/peerj.preprints.3192v2" TargetMode="External"/><Relationship Id="rId25" Type="http://schemas.openxmlformats.org/officeDocument/2006/relationships/hyperlink" Target="https://doi.org/10.54751/revistafoco.v18n11-083" TargetMode="External"/><Relationship Id="rId26" Type="http://schemas.openxmlformats.org/officeDocument/2006/relationships/hyperlink" Target="https://doi.org/10.32614/RJ-2018-058" TargetMode="External"/><Relationship Id="rId27" Type="http://schemas.openxmlformats.org/officeDocument/2006/relationships/hyperlink" Target="http://10.32614/CRAN.package.bacenR"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notes" Target="footnotes.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Relationship Id="rId39" Type="http://schemas.openxmlformats.org/officeDocument/2006/relationships/customXml" Target="../customXml/item2.xml"/><Relationship Id="rId40" Type="http://schemas.openxmlformats.org/officeDocument/2006/relationships/customXml" Target="../customXml/item3.xml"/><Relationship Id="rId41"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github.com/rtheodoro/bacenR/blob/main/NEWS.md" TargetMode="External"/><Relationship Id="rId13" Type="http://schemas.openxmlformats.org/officeDocument/2006/relationships/hyperlink" Target="https://cran.r-project.org/web/packages/bacenR/index.html" TargetMode="External"/><Relationship Id="rId14" Type="http://schemas.openxmlformats.org/officeDocument/2006/relationships/hyperlink" Target="https://cran.r-project.org/web/packages/bacenR/vignettes/bacenR.html" TargetMode="External"/><Relationship Id="rId15" Type="http://schemas.openxmlformats.org/officeDocument/2006/relationships/hyperlink" Target="https://www.bcb.gov.br/estabilidadefinanceira/balancetesbalancospatrimoniais" TargetMode="External"/><Relationship Id="rId16" Type="http://schemas.openxmlformats.org/officeDocument/2006/relationships/hyperlink" Target="https://www.bcb.gov.br/estabilidadefinanceira/relacao_instituicoes_funcionamento" TargetMode="External"/><Relationship Id="rId17" Type="http://schemas.openxmlformats.org/officeDocument/2006/relationships/hyperlink" Target="https://www.youtube.com/watch?v=ZkO005LtLXk" TargetMode="External"/>
</Relationships>
</file>

<file path=word/_rels/header2.xml.rels><?xml version="1.0" encoding="UTF-8"?>
<Relationships xmlns="http://schemas.openxmlformats.org/package/2006/relationships"><Relationship Id="rId1" Type="http://schemas.openxmlformats.org/officeDocument/2006/relationships/image" Target="media/image17.png"/>
</Relationships>
</file>

<file path=word/_rels/header3.xml.rels><?xml version="1.0" encoding="UTF-8"?>
<Relationships xmlns="http://schemas.openxmlformats.org/package/2006/relationships"><Relationship Id="rId1" Type="http://schemas.openxmlformats.org/officeDocument/2006/relationships/image" Target="media/image17.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Application>LibreOffice/24.2.7.2$Linux_X86_64 LibreOffice_project/420$Build-2</Application>
  <AppVersion>15.0000</AppVersion>
  <Pages>20</Pages>
  <Words>4227</Words>
  <Characters>25885</Characters>
  <CharactersWithSpaces>29967</CharactersWithSpaces>
  <Paragraphs>176</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2026-07-27T08:42:36Z</dcterms:modified>
  <cp:revision>213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