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64" w:lineRule="auto"/>
      </w:pPr>
      <w:r>
        <w:rPr>
          <w:rFonts w:ascii="Calibri" w:hAnsi="Calibri"/>
          <w:b/>
          <w:color w:val="2E74B5"/>
          <w:sz w:val="20"/>
        </w:rPr>
        <w:t>PRICING PLAN RECOMMENDATION</w:t>
      </w:r>
    </w:p>
    <w:p>
      <w:pPr>
        <w:keepNext/>
        <w:spacing w:after="80"/>
      </w:pPr>
      <w:r>
        <w:rPr>
          <w:rFonts w:ascii="Calibri" w:hAnsi="Calibri"/>
          <w:b/>
          <w:color w:val="000000"/>
          <w:sz w:val="48"/>
        </w:rPr>
        <w:t>EcoGlobe Signup Pricing Plans</w:t>
      </w:r>
    </w:p>
    <w:p>
      <w:pPr>
        <w:keepNext/>
        <w:spacing w:after="240" w:line="264" w:lineRule="auto"/>
      </w:pPr>
      <w:r>
        <w:rPr>
          <w:rFonts w:ascii="Calibri" w:hAnsi="Calibri"/>
          <w:b w:val="0"/>
          <w:color w:val="5F5F5F"/>
          <w:sz w:val="24"/>
        </w:rPr>
        <w:t>Recommended role-based subscription structure for buyer, seller, and buyer + seller onboarding.</w:t>
      </w:r>
    </w:p>
    <w:p>
      <w:pPr>
        <w:spacing w:after="40" w:line="264" w:lineRule="auto"/>
      </w:pPr>
      <w:r>
        <w:rPr>
          <w:rFonts w:ascii="Calibri" w:hAnsi="Calibri"/>
          <w:b/>
          <w:color w:val="161616"/>
          <w:sz w:val="21"/>
        </w:rPr>
        <w:t xml:space="preserve">Audience: </w:t>
      </w:r>
      <w:r>
        <w:rPr>
          <w:rFonts w:ascii="Calibri" w:hAnsi="Calibri"/>
          <w:color w:val="161616"/>
          <w:sz w:val="21"/>
        </w:rPr>
        <w:t>EcoGlobe internal team</w:t>
      </w:r>
    </w:p>
    <w:p>
      <w:pPr>
        <w:spacing w:after="40" w:line="264" w:lineRule="auto"/>
      </w:pPr>
      <w:r>
        <w:rPr>
          <w:rFonts w:ascii="Calibri" w:hAnsi="Calibri"/>
          <w:b/>
          <w:color w:val="161616"/>
          <w:sz w:val="21"/>
        </w:rPr>
        <w:t xml:space="preserve">Purpose: </w:t>
      </w:r>
      <w:r>
        <w:rPr>
          <w:rFonts w:ascii="Calibri" w:hAnsi="Calibri"/>
          <w:color w:val="161616"/>
          <w:sz w:val="21"/>
        </w:rPr>
        <w:t>Align signup roles, permissions, and Stripe pricing plans</w:t>
      </w:r>
    </w:p>
    <w:p>
      <w:pPr>
        <w:spacing w:after="40" w:line="264" w:lineRule="auto"/>
      </w:pPr>
      <w:r>
        <w:rPr>
          <w:rFonts w:ascii="Calibri" w:hAnsi="Calibri"/>
          <w:b/>
          <w:color w:val="161616"/>
          <w:sz w:val="21"/>
        </w:rPr>
        <w:t xml:space="preserve">Date: </w:t>
      </w:r>
      <w:r>
        <w:rPr>
          <w:rFonts w:ascii="Calibri" w:hAnsi="Calibri"/>
          <w:color w:val="161616"/>
          <w:sz w:val="21"/>
        </w:rPr>
        <w:t>July 23, 2026</w:t>
      </w:r>
    </w:p>
    <w:p>
      <w:pPr>
        <w:spacing w:after="40" w:line="264" w:lineRule="auto"/>
      </w:pPr>
      <w:r>
        <w:rPr>
          <w:rFonts w:ascii="Calibri" w:hAnsi="Calibri"/>
          <w:b/>
          <w:color w:val="161616"/>
          <w:sz w:val="21"/>
        </w:rPr>
        <w:t xml:space="preserve">Status: </w:t>
      </w:r>
      <w:r>
        <w:rPr>
          <w:rFonts w:ascii="Calibri" w:hAnsi="Calibri"/>
          <w:color w:val="161616"/>
          <w:sz w:val="21"/>
        </w:rPr>
        <w:t>Recommendation for implementation planning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360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2"/>
              </w:rPr>
              <w:t>Recommendation</w:t>
            </w:r>
          </w:p>
          <w:p>
            <w:pPr>
              <w:spacing w:after="0"/>
            </w:pPr>
            <w:r>
              <w:rPr>
                <w:rFonts w:ascii="Calibri" w:hAnsi="Calibri"/>
                <w:color w:val="161616"/>
                <w:sz w:val="21"/>
              </w:rPr>
              <w:t>Use one clear subscription plan per signup role for demo/dev: Buyer Access, Seller Access, and Buyer + Seller Access. Keep permissions separate from pricing so transaction approval rules can evolve without changing Stripe plans.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color w:val="2E74B5"/>
        </w:rPr>
        <w:t>What Is Causing Confusion</w:t>
      </w:r>
    </w:p>
    <w:p>
      <w:pPr>
        <w:spacing w:after="100" w:line="264" w:lineRule="auto"/>
      </w:pPr>
      <w:r>
        <w:rPr>
          <w:rFonts w:ascii="Calibri" w:hAnsi="Calibri"/>
          <w:b w:val="0"/>
          <w:color w:val="161616"/>
          <w:sz w:val="22"/>
        </w:rPr>
        <w:t>The current signup flow combines three concepts that should stay separate:</w:t>
      </w:r>
    </w:p>
    <w:p>
      <w:pPr>
        <w:pStyle w:val="ListBullet"/>
        <w:spacing w:after="120" w:line="280" w:lineRule="auto"/>
      </w:pPr>
      <w:r>
        <w:rPr>
          <w:rFonts w:ascii="Calibri" w:hAnsi="Calibri"/>
          <w:color w:val="161616"/>
          <w:sz w:val="22"/>
        </w:rPr>
        <w:t>Role: whether a company acts as a buyer, seller, or both.</w:t>
      </w:r>
    </w:p>
    <w:p>
      <w:pPr>
        <w:pStyle w:val="ListBullet"/>
        <w:spacing w:after="120" w:line="280" w:lineRule="auto"/>
      </w:pPr>
      <w:r>
        <w:rPr>
          <w:rFonts w:ascii="Calibri" w:hAnsi="Calibri"/>
          <w:color w:val="161616"/>
          <w:sz w:val="22"/>
        </w:rPr>
        <w:t>Permission: what an individual user can do inside that company account, such as requester, approver, executor, or admin.</w:t>
      </w:r>
    </w:p>
    <w:p>
      <w:pPr>
        <w:pStyle w:val="ListBullet"/>
        <w:spacing w:after="120" w:line="280" w:lineRule="auto"/>
      </w:pPr>
      <w:r>
        <w:rPr>
          <w:rFonts w:ascii="Calibri" w:hAnsi="Calibri"/>
          <w:color w:val="161616"/>
          <w:sz w:val="22"/>
        </w:rPr>
        <w:t>Pricing plan: what Stripe charges for platform access.</w:t>
      </w:r>
    </w:p>
    <w:p>
      <w:pPr>
        <w:spacing w:after="120" w:line="264" w:lineRule="auto"/>
      </w:pPr>
      <w:r>
        <w:rPr>
          <w:rFonts w:ascii="Calibri" w:hAnsi="Calibri"/>
          <w:b w:val="0"/>
          <w:color w:val="161616"/>
          <w:sz w:val="22"/>
        </w:rPr>
        <w:t>Keeping these concepts separate makes signup easier for users and keeps the backend model cleaner as approval limits, onboarding status, billing readiness, and seller payout readiness mature.</w:t>
      </w:r>
    </w:p>
    <w:p>
      <w:pPr>
        <w:pStyle w:val="Heading1"/>
      </w:pPr>
      <w:r>
        <w:rPr>
          <w:rFonts w:ascii="Calibri" w:hAnsi="Calibri"/>
          <w:b/>
          <w:color w:val="2E74B5"/>
        </w:rPr>
        <w:t>Recommended Signup Pricing Model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61616"/>
                <w:sz w:val="19"/>
              </w:rPr>
              <w:t>Account type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61616"/>
                <w:sz w:val="19"/>
              </w:rPr>
              <w:t>Signup role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61616"/>
                <w:sz w:val="19"/>
              </w:rPr>
              <w:t>Stripe action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61616"/>
                <w:sz w:val="19"/>
              </w:rPr>
              <w:t>Suggested demo price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61616"/>
                <w:sz w:val="18"/>
              </w:rPr>
              <w:t>General user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61616"/>
                <w:sz w:val="18"/>
              </w:rPr>
              <w:t>Unsubscribed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61616"/>
                <w:sz w:val="18"/>
              </w:rPr>
              <w:t>No Stripe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61616"/>
                <w:sz w:val="18"/>
              </w:rPr>
              <w:t>Free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61616"/>
                <w:sz w:val="18"/>
              </w:rPr>
              <w:t>Buyer Access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61616"/>
                <w:sz w:val="18"/>
              </w:rPr>
              <w:t>Buyer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61616"/>
                <w:sz w:val="18"/>
              </w:rPr>
              <w:t>Checkout subscription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61616"/>
                <w:sz w:val="18"/>
              </w:rPr>
              <w:t>$499/mo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61616"/>
                <w:sz w:val="18"/>
              </w:rPr>
              <w:t>Seller Access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61616"/>
                <w:sz w:val="18"/>
              </w:rPr>
              <w:t>Seller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61616"/>
                <w:sz w:val="18"/>
              </w:rPr>
              <w:t>Checkout subscription + Connect onboarding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61616"/>
                <w:sz w:val="18"/>
              </w:rPr>
              <w:t>$299/mo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61616"/>
                <w:sz w:val="18"/>
              </w:rPr>
              <w:t>Buyer + Seller Access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61616"/>
                <w:sz w:val="18"/>
              </w:rPr>
              <w:t>Both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61616"/>
                <w:sz w:val="18"/>
              </w:rPr>
              <w:t>One bundled subscription + Connect onboarding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61616"/>
                <w:sz w:val="18"/>
              </w:rPr>
              <w:t>$699/mo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61616"/>
                <w:sz w:val="18"/>
              </w:rPr>
              <w:t>Enterprise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61616"/>
                <w:sz w:val="18"/>
              </w:rPr>
              <w:t>Buyer, seller, or both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61616"/>
                <w:sz w:val="18"/>
              </w:rPr>
              <w:t>Contact sales / manual admin setup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61616"/>
                <w:sz w:val="18"/>
              </w:rPr>
              <w:t>Custom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Calibri" w:hAnsi="Calibri"/>
          <w:b/>
          <w:color w:val="2E74B5"/>
        </w:rPr>
        <w:t>Why This Structure Works</w:t>
      </w:r>
    </w:p>
    <w:p>
      <w:pPr>
        <w:pStyle w:val="ListBullet"/>
        <w:spacing w:after="120" w:line="280" w:lineRule="auto"/>
      </w:pPr>
      <w:r>
        <w:rPr>
          <w:rFonts w:ascii="Calibri" w:hAnsi="Calibri"/>
          <w:color w:val="161616"/>
          <w:sz w:val="22"/>
        </w:rPr>
        <w:t>It maps directly to the signup choices users already see: buyer, seller, or both.</w:t>
      </w:r>
    </w:p>
    <w:p>
      <w:pPr>
        <w:pStyle w:val="ListBullet"/>
        <w:spacing w:after="120" w:line="280" w:lineRule="auto"/>
      </w:pPr>
      <w:r>
        <w:rPr>
          <w:rFonts w:ascii="Calibri" w:hAnsi="Calibri"/>
          <w:color w:val="161616"/>
          <w:sz w:val="22"/>
        </w:rPr>
        <w:t>It avoids forcing users through multiple tier decisions before they understand the platform.</w:t>
      </w:r>
    </w:p>
    <w:p>
      <w:pPr>
        <w:pStyle w:val="ListBullet"/>
        <w:spacing w:after="120" w:line="280" w:lineRule="auto"/>
      </w:pPr>
      <w:r>
        <w:rPr>
          <w:rFonts w:ascii="Calibri" w:hAnsi="Calibri"/>
          <w:color w:val="161616"/>
          <w:sz w:val="22"/>
        </w:rPr>
        <w:t>It gives the team a clean demo story: buyers pay for sourcing access; sellers pay for verified marketplace access; dual companies get a bundled discount.</w:t>
      </w:r>
    </w:p>
    <w:p>
      <w:pPr>
        <w:pStyle w:val="ListBullet"/>
        <w:spacing w:after="120" w:line="280" w:lineRule="auto"/>
      </w:pPr>
      <w:r>
        <w:rPr>
          <w:rFonts w:ascii="Calibri" w:hAnsi="Calibri"/>
          <w:color w:val="161616"/>
          <w:sz w:val="22"/>
        </w:rPr>
        <w:t>It keeps company-level access distinct from user-level permissions and approval limits.</w:t>
      </w:r>
    </w:p>
    <w:p>
      <w:pPr>
        <w:pStyle w:val="Heading1"/>
      </w:pPr>
      <w:r>
        <w:rPr>
          <w:rFonts w:ascii="Calibri" w:hAnsi="Calibri"/>
          <w:b/>
          <w:color w:val="2E74B5"/>
        </w:rPr>
        <w:t>Stripe Setup Recommendation</w:t>
      </w:r>
    </w:p>
    <w:p>
      <w:pPr>
        <w:spacing w:after="120" w:line="264" w:lineRule="auto"/>
      </w:pPr>
      <w:r>
        <w:rPr>
          <w:rFonts w:ascii="Calibri" w:hAnsi="Calibri"/>
          <w:b w:val="0"/>
          <w:color w:val="161616"/>
          <w:sz w:val="22"/>
        </w:rPr>
        <w:t>Create Stripe Products and recurring Prices with stable lookup keys rather than hard-coded price IDs. This lets us adjust amounts later without redeploying the frontend.</w:t>
      </w:r>
    </w:p>
    <w:p>
      <w:pPr>
        <w:pStyle w:val="ListBullet"/>
        <w:spacing w:after="120" w:line="280" w:lineRule="auto"/>
      </w:pPr>
      <w:r>
        <w:rPr>
          <w:rFonts w:ascii="Calibri" w:hAnsi="Calibri"/>
          <w:color w:val="161616"/>
          <w:sz w:val="22"/>
        </w:rPr>
        <w:t>ecoglobe_buyer_monthly</w:t>
      </w:r>
    </w:p>
    <w:p>
      <w:pPr>
        <w:pStyle w:val="ListBullet"/>
        <w:spacing w:after="120" w:line="280" w:lineRule="auto"/>
      </w:pPr>
      <w:r>
        <w:rPr>
          <w:rFonts w:ascii="Calibri" w:hAnsi="Calibri"/>
          <w:color w:val="161616"/>
          <w:sz w:val="22"/>
        </w:rPr>
        <w:t>ecoglobe_seller_monthly</w:t>
      </w:r>
    </w:p>
    <w:p>
      <w:pPr>
        <w:pStyle w:val="ListBullet"/>
        <w:spacing w:after="120" w:line="280" w:lineRule="auto"/>
      </w:pPr>
      <w:r>
        <w:rPr>
          <w:rFonts w:ascii="Calibri" w:hAnsi="Calibri"/>
          <w:color w:val="161616"/>
          <w:sz w:val="22"/>
        </w:rPr>
        <w:t>ecoglobe_dual_monthly</w:t>
      </w:r>
    </w:p>
    <w:p>
      <w:pPr>
        <w:spacing w:after="120" w:line="264" w:lineRule="auto"/>
      </w:pPr>
      <w:r>
        <w:rPr>
          <w:rFonts w:ascii="Calibri" w:hAnsi="Calibri"/>
          <w:b w:val="0"/>
          <w:color w:val="161616"/>
          <w:sz w:val="22"/>
        </w:rPr>
        <w:t>Buyer and seller access should use Stripe Checkout in subscription mode. Seller payout setup should remain a separate Stripe Connect Express onboarding step. For a buyer + seller account, the user should pay for the bundled dual plan and then complete Connect onboarding for payouts.</w:t>
      </w:r>
    </w:p>
    <w:p>
      <w:pPr>
        <w:pStyle w:val="Heading1"/>
      </w:pPr>
      <w:r>
        <w:rPr>
          <w:rFonts w:ascii="Calibri" w:hAnsi="Calibri"/>
          <w:b/>
          <w:color w:val="2E74B5"/>
        </w:rPr>
        <w:t>Implementation Notes</w:t>
      </w:r>
    </w:p>
    <w:p>
      <w:pPr>
        <w:pStyle w:val="ListBullet"/>
        <w:spacing w:after="120" w:line="280" w:lineRule="auto"/>
      </w:pPr>
      <w:r>
        <w:rPr>
          <w:rFonts w:ascii="Calibri" w:hAnsi="Calibri"/>
          <w:color w:val="161616"/>
          <w:sz w:val="22"/>
        </w:rPr>
        <w:t>Add a pricing-plan selector into signup or onboarding after the user selects buyer, seller, or both.</w:t>
      </w:r>
    </w:p>
    <w:p>
      <w:pPr>
        <w:pStyle w:val="ListBullet"/>
        <w:spacing w:after="120" w:line="280" w:lineRule="auto"/>
      </w:pPr>
      <w:r>
        <w:rPr>
          <w:rFonts w:ascii="Calibri" w:hAnsi="Calibri"/>
          <w:color w:val="161616"/>
          <w:sz w:val="22"/>
        </w:rPr>
        <w:t>Store selected plan metadata on the company/profile records, not only in local UI state.</w:t>
      </w:r>
    </w:p>
    <w:p>
      <w:pPr>
        <w:pStyle w:val="ListBullet"/>
        <w:spacing w:after="120" w:line="280" w:lineRule="auto"/>
      </w:pPr>
      <w:r>
        <w:rPr>
          <w:rFonts w:ascii="Calibri" w:hAnsi="Calibri"/>
          <w:color w:val="161616"/>
          <w:sz w:val="22"/>
        </w:rPr>
        <w:t>Change buyer Stripe setup from setup mode to subscription mode when charging the subscription.</w:t>
      </w:r>
    </w:p>
    <w:p>
      <w:pPr>
        <w:pStyle w:val="ListBullet"/>
        <w:spacing w:after="120" w:line="280" w:lineRule="auto"/>
      </w:pPr>
      <w:r>
        <w:rPr>
          <w:rFonts w:ascii="Calibri" w:hAnsi="Calibri"/>
          <w:color w:val="161616"/>
          <w:sz w:val="22"/>
        </w:rPr>
        <w:t>For sellers, run subscription Checkout first or in parallel with Stripe Connect onboarding, then mark payout readiness separately.</w:t>
      </w:r>
    </w:p>
    <w:p>
      <w:pPr>
        <w:pStyle w:val="ListBullet"/>
        <w:spacing w:after="120" w:line="280" w:lineRule="auto"/>
      </w:pPr>
      <w:r>
        <w:rPr>
          <w:rFonts w:ascii="Calibri" w:hAnsi="Calibri"/>
          <w:color w:val="161616"/>
          <w:sz w:val="22"/>
        </w:rPr>
        <w:t>Use backend lookup tables for subscription and billing statuses so new statuses can be added without code changes.</w:t>
      </w:r>
    </w:p>
    <w:p>
      <w:pPr>
        <w:pStyle w:val="Heading1"/>
      </w:pPr>
      <w:r>
        <w:rPr>
          <w:rFonts w:ascii="Calibri" w:hAnsi="Calibri"/>
          <w:b/>
          <w:color w:val="2E74B5"/>
        </w:rPr>
        <w:t>Current Codebase Fit</w:t>
      </w:r>
    </w:p>
    <w:p>
      <w:pPr>
        <w:spacing w:after="120" w:line="264" w:lineRule="auto"/>
      </w:pPr>
      <w:r>
        <w:rPr>
          <w:rFonts w:ascii="Calibri" w:hAnsi="Calibri"/>
          <w:b w:val="0"/>
          <w:color w:val="161616"/>
          <w:sz w:val="22"/>
        </w:rPr>
        <w:t>The current EcoGlobe flow already supports role selection and backend onboarding for buyer, seller, and buyer + seller. It also has Stripe setup work in place, but it does not yet have a complete product/price catalog or true subscription Checkout tied to each role. The next step is to add plan selection and map each selected plan to a Stripe lookup key.</w:t>
      </w:r>
    </w:p>
    <w:p>
      <w:pPr>
        <w:pStyle w:val="Heading1"/>
      </w:pPr>
      <w:r>
        <w:rPr>
          <w:rFonts w:ascii="Calibri" w:hAnsi="Calibri"/>
          <w:b/>
          <w:color w:val="2E74B5"/>
        </w:rPr>
        <w:t>Sources</w:t>
      </w:r>
    </w:p>
    <w:p>
      <w:pPr>
        <w:pStyle w:val="ListBullet"/>
        <w:spacing w:after="40" w:line="252" w:lineRule="auto"/>
      </w:pPr>
      <w:r>
        <w:rPr>
          <w:rFonts w:ascii="Calibri" w:hAnsi="Calibri"/>
          <w:color w:val="5F5F5F"/>
          <w:sz w:val="19"/>
        </w:rPr>
        <w:t>Stripe Products and Prices documentation</w:t>
      </w:r>
    </w:p>
    <w:p>
      <w:pPr>
        <w:pStyle w:val="ListBullet"/>
        <w:spacing w:after="40" w:line="252" w:lineRule="auto"/>
      </w:pPr>
      <w:r>
        <w:rPr>
          <w:rFonts w:ascii="Calibri" w:hAnsi="Calibri"/>
          <w:color w:val="5F5F5F"/>
          <w:sz w:val="19"/>
        </w:rPr>
        <w:t>Stripe price lookup keys documentation</w:t>
      </w:r>
    </w:p>
    <w:p>
      <w:pPr>
        <w:pStyle w:val="ListBullet"/>
        <w:spacing w:after="40" w:line="252" w:lineRule="auto"/>
      </w:pPr>
      <w:r>
        <w:rPr>
          <w:rFonts w:ascii="Calibri" w:hAnsi="Calibri"/>
          <w:color w:val="5F5F5F"/>
          <w:sz w:val="19"/>
        </w:rPr>
        <w:t>Stripe Checkout subscriptions documentation</w:t>
      </w:r>
    </w:p>
    <w:p>
      <w:pPr>
        <w:pStyle w:val="ListBullet"/>
        <w:spacing w:after="40" w:line="252" w:lineRule="auto"/>
      </w:pPr>
      <w:r>
        <w:rPr>
          <w:rFonts w:ascii="Calibri" w:hAnsi="Calibri"/>
          <w:color w:val="5F5F5F"/>
          <w:sz w:val="19"/>
        </w:rPr>
        <w:t>Stripe Connect Express onboarding documentation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5F5F"/>
        <w:sz w:val="18"/>
      </w:rPr>
      <w:t>Internal planning brief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5F5F5F"/>
        <w:sz w:val="18"/>
      </w:rPr>
      <w:t>EcoGlobe Pricing Plan Recommendation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