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Lundi 14 avril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Mercredi et jeudi dernier j’étais en télétravail. Mon emploi du temps se resserre au fur et à mesure que nous nous rapprochons de la fin de l’année scolaire. En plus de mon alternance chez Gecina, je dois produire 2 mémoires (un rapport d’alternance et un mémoire de projet); mon dernier projet de spé ainsi que de postuler à des offres d’emploies liées à l’IA.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Cependant, des avancées majeures ont été percées en IA, notamment avec l’arrivée de Google AI Studio, supportant Gemini 2.5 Pro gratuitement, qui présente une fenêtre de contexte d’1 million de contexte, ainsi que l'accessibilité à FireBase Studio, un environnement de développement similaire à VS code, amplifié avec Gemini 2.5, qui permet de prototyper et développer des applications 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Ce matin, j’ai fais part à Jérôme de cette avancée et de l’impact quelle pouvait avoir sur mon travail : cela fait maintenant plusieurs semaine que je cherche à obtenir l’accès à une machine virtuelle qui me permettrait de prototyper des quick-wins et pouvoir faire avancer les projets d’IA sans avoir recours à des ENS et utiliser notre budget pour des applications IA dont je serais capable de couvrir le développement et déploiement de A à Z.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