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rPr>
          <w:trHeight w:val="320" w:hRule="atLeast"/>
        </w:trPr>
        <w:tc>
          <w:tcPr>
            <w:tcW w:w="10440" w:type="dxa"/>
            <w:shd w:val="clear" w:color="auto" w:fill="4FA7D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4FA7DB"/>
              <w:left w:val="single" w:sz="6" w:space="0" w:color="4FA7DB"/>
              <w:bottom w:val="single" w:sz="6" w:space="0" w:color="4FA7DB"/>
              <w:right w:val="single" w:sz="6" w:space="0" w:color="4FA7DB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/>
            </w:r>
          </w:p>
        </w:tc>
      </w:tr>
    </w:tbl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rPr>
          <w:trHeight w:val="10200" w:hRule="atLeast"/>
        </w:trPr>
        <w:tc>
          <w:tcPr>
            <w:tcW w:w="104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CoverEyebrow"/>
              <w:jc w:val="center"/>
              <w:spacing w:before="520" w:after="240"/>
            </w:pPr>
            <w:r>
              <w:rPr>
                <w:b/>
                <w:bCs/>
                <w:color w:val="FFFFFF"/>
                <w:sz w:val="20"/>
                <w:szCs w:val="20"/>
              </w:rPr>
              <w:t>MICROSOFT 365 TENANT REVIEW</w:t>
            </w:r>
          </w:p>
          <w:p>
            <w:pPr>
              <w:pStyle w:val="CoverTitle"/>
              <w:jc w:val="center"/>
              <w:spacing w:before="0" w:after="180"/>
            </w:pPr>
            <w:r>
              <w:rPr>
                <w:b/>
                <w:bCs/>
                <w:color w:val="FFFFFF"/>
                <w:sz w:val="54"/>
                <w:szCs w:val="54"/>
              </w:rPr>
              <w:t>Microsoft 365 Tenant Review</w:t>
            </w:r>
          </w:p>
          <w:p>
            <w:pPr>
              <w:pStyle w:val="CoverSubtitle"/>
              <w:jc w:val="center"/>
              <w:spacing w:before="0" w:after="360"/>
            </w:pPr>
            <w:r>
              <w:rPr>
                <w:color w:val="EAF6FF"/>
                <w:sz w:val="32"/>
                <w:szCs w:val="32"/>
              </w:rPr>
              <w:t>RTH Tech Services Inc.</w:t>
            </w:r>
          </w:p>
          <w:p>
            <w:pPr>
              <w:pStyle w:val="CoverMeta"/>
              <w:jc w:val="center"/>
              <w:spacing w:before="0" w:after="120"/>
            </w:pPr>
            <w:r>
              <w:rPr>
                <w:color w:val="FFFFFF"/>
                <w:sz w:val="22"/>
                <w:szCs w:val="22"/>
              </w:rPr>
              <w:t>Review period: Sample review period</w:t>
            </w:r>
          </w:p>
          <w:p>
            <w:pPr>
              <w:pStyle w:val="CoverMeta"/>
              <w:jc w:val="center"/>
              <w:spacing w:before="0" w:after="120"/>
            </w:pPr>
            <w:r>
              <w:rPr>
                <w:color w:val="FFFFFF"/>
                <w:sz w:val="22"/>
                <w:szCs w:val="22"/>
              </w:rPr>
              <w:t>Prepared by RTH Tech Services</w:t>
            </w:r>
          </w:p>
          <w:p>
            <w:pPr>
              <w:pStyle w:val="CoverMeta"/>
              <w:jc w:val="center"/>
              <w:spacing w:before="0" w:after="520"/>
            </w:pPr>
            <w:r>
              <w:rPr>
                <w:color w:val="FFFFFF"/>
                <w:sz w:val="22"/>
                <w:szCs w:val="22"/>
              </w:rPr>
              <w:t>Generated: May 16, 2026</w:t>
            </w:r>
          </w:p>
          <w:p>
            <w:pPr>
              <w:pStyle w:val="CoverEyebrow"/>
              <w:jc w:val="center"/>
              <w:spacing w:before="0" w:after="360"/>
            </w:pPr>
            <w:r>
              <w:rPr>
                <w:b/>
                <w:bCs/>
                <w:color w:val="EAF6FF"/>
                <w:sz w:val="17"/>
                <w:szCs w:val="17"/>
              </w:rPr>
              <w:t>Confidential client report</w:t>
            </w:r>
          </w:p>
        </w:tc>
      </w:tr>
    </w:tbl>
    <w:p>
      <w:r>
        <w:br w:type="page"/>
      </w:r>
    </w:p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w="104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SectionHeader"/>
              <w:spacing w:before="0" w:after="30"/>
            </w:pPr>
            <w:r>
              <w:rPr>
                <w:b/>
                <w:bCs/>
                <w:color w:val="FFFFFF"/>
                <w:sz w:val="25"/>
                <w:szCs w:val="25"/>
              </w:rPr>
              <w:t>Executive Summary</w:t>
            </w:r>
          </w:p>
          <w:p>
            <w:pPr>
              <w:pStyle w:val="SectionSubtitle"/>
              <w:spacing w:before="0" w:after="0"/>
            </w:pPr>
            <w:r>
              <w:rPr>
                <w:color w:val="E9DDF0"/>
                <w:sz w:val="17"/>
                <w:szCs w:val="17"/>
              </w:rPr>
              <w:t>High-level tenant health and immediate management focus</w:t>
            </w:r>
          </w:p>
        </w:tc>
      </w:tr>
    </w:tbl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EBF5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4FA7DB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4FA7DB"/>
                <w:sz w:val="18"/>
                <w:szCs w:val="18"/>
              </w:rPr>
              <w:t>Tenant health statement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The tenant is in good standing. No major issues were identified during this review.</w:t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0" w:noVBand="1"/>
      </w:tblPr>
      <w:tblGrid>
        <w:gridCol w:w="10440"/>
      </w:tblGrid>
      <w:tr>
        <w:tc>
          <w:tcPr>
            <w:tcW w:w="10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20"/>
                <w:szCs w:val="20"/>
              </w:rPr>
              <w:t>This review covers the RTH Tech Services Inc. Microsoft 365 tenant. The tenant has 15 user accounts — 10 members and 5 guests.</w:t>
            </w:r>
          </w:p>
        </w:tc>
      </w:tr>
      <w:tr>
        <w:tc>
          <w:tcPr>
            <w:tcW w:w="1044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20"/>
                <w:szCs w:val="20"/>
              </w:rPr>
              <w:t>12 Microsoft 365 licenses are currently assigned with an estimated monthly spend of CAD $40 (partial — 9 SKUs are missing price data). 1049993 licenses appear unassigned.</w:t>
            </w:r>
          </w:p>
        </w:tc>
      </w:tr>
      <w:tr>
        <w:tc>
          <w:tcPr>
            <w:tcW w:w="10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20"/>
                <w:szCs w:val="20"/>
              </w:rPr>
              <w:t>Mail forwarding is active on 2 mailboxes, and 17 inbox forwarding rules were found. These should be confirmed as intentional.</w:t>
            </w:r>
          </w:p>
        </w:tc>
      </w:tr>
      <w:tr>
        <w:tc>
          <w:tcPr>
            <w:tcW w:w="1044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20"/>
                <w:szCs w:val="20"/>
              </w:rPr>
              <w:t>2 of 3 Teams workspaces had no recorded activity in the last 90 days and may be candidates for archiving.</w:t>
            </w:r>
          </w:p>
        </w:tc>
      </w:tr>
      <w:tr>
        <w:tc>
          <w:tcPr>
            <w:tcW w:w="10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20"/>
                <w:szCs w:val="20"/>
              </w:rPr>
              <w:t>5 of 9 registered devices appear stale. Cleaning up outdated device records supports better compliance and security reporting.</w:t>
            </w:r>
          </w:p>
        </w:tc>
      </w:tr>
      <w:tr>
        <w:tc>
          <w:tcPr>
            <w:tcW w:w="1044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20"/>
                <w:szCs w:val="20"/>
              </w:rPr>
              <w:t>1 Microsoft 365 Copilot license is assigned at an estimated CAD $40/month. Enable usage reporting to confirm active adoption.</w:t>
            </w:r>
          </w:p>
        </w:tc>
      </w:tr>
    </w:tbl>
    <w:p>
      <w:r>
        <w:br w:type="page"/>
      </w:r>
    </w:p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w="104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SectionHeader"/>
              <w:spacing w:before="0" w:after="30"/>
            </w:pPr>
            <w:r>
              <w:rPr>
                <w:b/>
                <w:bCs/>
                <w:color w:val="FFFFFF"/>
                <w:sz w:val="25"/>
                <w:szCs w:val="25"/>
              </w:rPr>
              <w:t>Key Metrics at a Glance</w:t>
            </w:r>
          </w:p>
          <w:p>
            <w:pPr>
              <w:pStyle w:val="SectionSubtitle"/>
              <w:spacing w:before="0" w:after="0"/>
            </w:pPr>
            <w:r>
              <w:rPr>
                <w:color w:val="E9DDF0"/>
                <w:sz w:val="17"/>
                <w:szCs w:val="17"/>
              </w:rPr>
              <w:t>Headline numbers across all reviewed areas</w:t>
            </w:r>
          </w:p>
        </w:tc>
      </w:tr>
    </w:tbl>
    <w:tbl>
      <w:tblPr>
        <w:tblW w:w="10440" w:type="dxa"/>
        <w:tblLayout w:type="fixed"/>
        <w:tblCellSpacing w:w="120" w:type="dxa"/>
      </w:tblPr>
      <w:tblGrid>
        <w:gridCol w:w="3480"/>
        <w:gridCol w:w="3480"/>
        <w:gridCol w:w="3480"/>
      </w:tblGrid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15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TOTAL USERS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All accounts in the tenant — 10 members and 5 guests.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F39C12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5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GUEST USERS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External users with access to tenant resources. Review periodically to confirm ongoing need.</w:t>
            </w:r>
          </w:p>
          <w:p>
            <w:pPr>
              <w:pStyle w:val="StatusBadge"/>
              <w:spacing w:before="0" w:after="2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767779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N/A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STALE USERS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Sign-in activity data was not collected this run. Enable sign-in reporting to detect dormant accounts.</w:t>
            </w:r>
          </w:p>
          <w:p>
            <w:pPr>
              <w:pStyle w:val="StatusBadge"/>
              <w:spacing w:before="0" w:after="20"/>
              <w:shd w:val="clear" w:color="auto" w:fill="F2F3F4"/>
            </w:pPr>
            <w:r>
              <w:rPr>
                <w:b/>
                <w:bCs/>
                <w:color w:val="767779"/>
                <w:sz w:val="15"/>
                <w:szCs w:val="15"/>
              </w:rPr>
              <w:t>NOT AVAILABLE</w:t>
            </w:r>
          </w:p>
        </w:tc>
      </w:tr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12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LICENSED USERS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Microsoft 365 license assignments currently active in the tenant.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E74C3C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1,049,993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UNUSED LICENSES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Purchased licenses not currently assigned to any user.</w:t>
            </w:r>
          </w:p>
          <w:p>
            <w:pPr>
              <w:pStyle w:val="StatusBadge"/>
              <w:spacing w:before="0" w:after="20"/>
              <w:shd w:val="clear" w:color="auto" w:fill="FDE8E8"/>
            </w:pPr>
            <w:r>
              <w:rPr>
                <w:b/>
                <w:bCs/>
                <w:color w:val="E74C3C"/>
                <w:sz w:val="15"/>
                <w:szCs w:val="15"/>
              </w:rPr>
              <w:t>ACTION RECOMMENDED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CAD $40.00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EST. MONTHLY SPEND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Estimated total monthly license cost based on available SKU price data.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</w:tr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27AE6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DISABLED LICENSED USERS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Disabled accounts that still have Microsoft 365 licenses assigned.</w:t>
            </w:r>
          </w:p>
          <w:p>
            <w:pPr>
              <w:pStyle w:val="StatusBadge"/>
              <w:spacing w:before="0" w:after="20"/>
              <w:shd w:val="clear" w:color="auto" w:fill="D5F5E3"/>
            </w:pPr>
            <w:r>
              <w:rPr>
                <w:b/>
                <w:bCs/>
                <w:color w:val="27AE60"/>
                <w:sz w:val="15"/>
                <w:szCs w:val="15"/>
              </w:rPr>
              <w:t>HEALTHY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27AE6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STALE LICENSED USERS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Licensed accounts with no recent sign-in. May no longer need paid licenses.</w:t>
            </w:r>
          </w:p>
          <w:p>
            <w:pPr>
              <w:pStyle w:val="StatusBadge"/>
              <w:spacing w:before="0" w:after="20"/>
              <w:shd w:val="clear" w:color="auto" w:fill="D5F5E3"/>
            </w:pPr>
            <w:r>
              <w:rPr>
                <w:b/>
                <w:bCs/>
                <w:color w:val="27AE60"/>
                <w:sz w:val="15"/>
                <w:szCs w:val="15"/>
              </w:rPr>
              <w:t>HEALTHY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9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TOTAL MAILBOXES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All mailboxes in Exchange Online — 4 shared mailboxes included.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</w:tr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F39C12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2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MAILBOXES WITH FORWARDING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Mailboxes configured to forward messages to another address.</w:t>
            </w:r>
          </w:p>
          <w:p>
            <w:pPr>
              <w:pStyle w:val="StatusBadge"/>
              <w:spacing w:before="0" w:after="2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27AE6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EXTERNAL FORWARDING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Mailboxes suspected of forwarding messages outside the organisation. Should be reviewed.</w:t>
            </w:r>
          </w:p>
          <w:p>
            <w:pPr>
              <w:pStyle w:val="StatusBadge"/>
              <w:spacing w:before="0" w:after="20"/>
              <w:shd w:val="clear" w:color="auto" w:fill="D5F5E3"/>
            </w:pPr>
            <w:r>
              <w:rPr>
                <w:b/>
                <w:bCs/>
                <w:color w:val="27AE60"/>
                <w:sz w:val="15"/>
                <w:szCs w:val="15"/>
              </w:rPr>
              <w:t>HEALTHY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E74C3C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17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INBOX FORWARDING RULES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Inbox rules configured to redirect or forward messages found across scanned mailboxes.</w:t>
            </w:r>
          </w:p>
          <w:p>
            <w:pPr>
              <w:pStyle w:val="StatusBadge"/>
              <w:spacing w:before="0" w:after="20"/>
              <w:shd w:val="clear" w:color="auto" w:fill="FDE8E8"/>
            </w:pPr>
            <w:r>
              <w:rPr>
                <w:b/>
                <w:bCs/>
                <w:color w:val="E74C3C"/>
                <w:sz w:val="15"/>
                <w:szCs w:val="15"/>
              </w:rPr>
              <w:t>ACTION RECOMMENDED</w:t>
            </w:r>
          </w:p>
        </w:tc>
      </w:tr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38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SHAREPOINT SITES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Total SharePoint Online sites in the tenant.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22.1 GB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SHAREPOINT STORAGE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Total storage used across all SharePoint sites.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27AE6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EXTERNAL SHARING SITES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Sites with external sharing enabled. Should be intentional and regularly reviewed.</w:t>
            </w:r>
          </w:p>
          <w:p>
            <w:pPr>
              <w:pStyle w:val="StatusBadge"/>
              <w:spacing w:before="0" w:after="20"/>
              <w:shd w:val="clear" w:color="auto" w:fill="D5F5E3"/>
            </w:pPr>
            <w:r>
              <w:rPr>
                <w:b/>
                <w:bCs/>
                <w:color w:val="27AE60"/>
                <w:sz w:val="15"/>
                <w:szCs w:val="15"/>
              </w:rPr>
              <w:t>HEALTHY</w:t>
            </w:r>
          </w:p>
        </w:tc>
      </w:tr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ONEDRIVE ACCOUNTS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Personal OneDrive accounts provisioned in the tenant.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3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TOTAL TEAMS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Microsoft Teams workspaces in the tenant.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F39C12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2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INACTIVE TEAMS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Teams with no recorded activity in the last 90 days. May be candidates for archiving.</w:t>
            </w:r>
          </w:p>
          <w:p>
            <w:pPr>
              <w:pStyle w:val="StatusBadge"/>
              <w:spacing w:before="0" w:after="2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</w:tr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27AE6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TEAMS WITHOUT OWNERS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Teams with no assigned owner — an unmanaged workspace with no accountable steward.</w:t>
            </w:r>
          </w:p>
          <w:p>
            <w:pPr>
              <w:pStyle w:val="StatusBadge"/>
              <w:spacing w:before="0" w:after="20"/>
              <w:shd w:val="clear" w:color="auto" w:fill="D5F5E3"/>
            </w:pPr>
            <w:r>
              <w:rPr>
                <w:b/>
                <w:bCs/>
                <w:color w:val="27AE60"/>
                <w:sz w:val="15"/>
                <w:szCs w:val="15"/>
              </w:rPr>
              <w:t>HEALTHY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9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TOTAL DEVICES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Devices registered in Entra ID — 6 Windows, 3 Android.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F39C12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5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STALE DEVICES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Devices that have not checked in recently. May represent decommissioned endpoints.</w:t>
            </w:r>
          </w:p>
          <w:p>
            <w:pPr>
              <w:pStyle w:val="StatusBadge"/>
              <w:spacing w:before="0" w:after="2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</w:tr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F39C12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INTUNE MANAGED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Devices actively managed through Microsoft Intune for compliance and policy enforcement.</w:t>
            </w:r>
          </w:p>
          <w:p>
            <w:pPr>
              <w:pStyle w:val="StatusBadge"/>
              <w:spacing w:before="0" w:after="2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1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COPILOT LICENSES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Microsoft 365 Copilot licenses purchased for the tenant.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27AE6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UNUSED COPILOT LICENSES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Copilot licenses purchased but not yet assigned to any user.</w:t>
            </w:r>
          </w:p>
          <w:p>
            <w:pPr>
              <w:pStyle w:val="StatusBadge"/>
              <w:spacing w:before="0" w:after="20"/>
              <w:shd w:val="clear" w:color="auto" w:fill="D5F5E3"/>
            </w:pPr>
            <w:r>
              <w:rPr>
                <w:b/>
                <w:bCs/>
                <w:color w:val="27AE60"/>
                <w:sz w:val="15"/>
                <w:szCs w:val="15"/>
              </w:rPr>
              <w:t>HEALTHY</w:t>
            </w:r>
          </w:p>
        </w:tc>
      </w:tr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767779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N/A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ACTIVE COPILOT USERS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Usage activity data was not collected this run. Enable Copilot usage reporting for adoption insight.</w:t>
            </w:r>
          </w:p>
          <w:p>
            <w:pPr>
              <w:pStyle w:val="StatusBadge"/>
              <w:spacing w:before="0" w:after="20"/>
              <w:shd w:val="clear" w:color="auto" w:fill="F2F3F4"/>
            </w:pPr>
            <w:r>
              <w:rPr>
                <w:b/>
                <w:bCs/>
                <w:color w:val="767779"/>
                <w:sz w:val="15"/>
                <w:szCs w:val="15"/>
              </w:rPr>
              <w:t>NOT AVAILABLE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CAD $40.00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COPILOT MONTHLY SPEND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Estimated monthly cost for all Copilot licenses based on available price data.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/>
            </w:r>
          </w:p>
        </w:tc>
      </w:tr>
    </w:tbl>
    <w:p>
      <w:r>
        <w:br w:type="page"/>
      </w:r>
    </w:p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w="104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SectionHeader"/>
              <w:spacing w:before="0" w:after="30"/>
            </w:pPr>
            <w:r>
              <w:rPr>
                <w:b/>
                <w:bCs/>
                <w:color w:val="FFFFFF"/>
                <w:sz w:val="25"/>
                <w:szCs w:val="25"/>
              </w:rPr>
              <w:t>Tenant Overview</w:t>
            </w:r>
          </w:p>
        </w:tc>
      </w:tr>
    </w:tbl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24" w:space="0" w:color="27AE60"/>
              <w:bottom w:val="single" w:sz="6" w:space="0" w:color="E2E8F0"/>
              <w:right w:val="single" w:sz="6" w:space="0" w:color="E2E8F0"/>
            </w:tcBorders>
          </w:tcPr>
          <w:p>
            <w:pPr>
              <w:pStyle w:val="StatusBadge"/>
              <w:spacing w:before="0" w:after="80"/>
              <w:shd w:val="clear" w:color="auto" w:fill="D5F5E3"/>
            </w:pPr>
            <w:r>
              <w:rPr>
                <w:b/>
                <w:bCs/>
                <w:color w:val="27AE60"/>
                <w:sz w:val="15"/>
                <w:szCs w:val="15"/>
              </w:rPr>
              <w:t>HEALTHY</w:t>
            </w:r>
          </w:p>
          <w:p>
            <w:pPr>
              <w:pStyle w:val="NarrativeHeadline"/>
              <w:spacing w:before="0" w:after="100"/>
            </w:pPr>
            <w:r>
              <w:rPr>
                <w:b/>
                <w:bCs/>
                <w:color w:val="1F2933"/>
                <w:sz w:val="24"/>
                <w:szCs w:val="24"/>
              </w:rPr>
              <w:t>Tenant configuration is stable and fully verified</w:t>
            </w:r>
          </w:p>
          <w:p>
            <w:pPr>
              <w:pStyle w:val="Normal"/>
              <w:spacing w:before="0" w:after="60"/>
            </w:pPr>
            <w:r>
              <w:rPr>
                <w:color w:val="1F2933"/>
                <w:sz w:val="21"/>
                <w:szCs w:val="21"/>
              </w:rPr>
              <w:t>RTH Tech Services Inc. has a properly configured Microsoft 365 tenant with all five domains verified and no federation in place. Core setup appears stable and centrally managed.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7F8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5A2F61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5A2F61"/>
                <w:sz w:val="18"/>
                <w:szCs w:val="18"/>
              </w:rPr>
              <w:t>Why it matters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A properly verified and non-federated tenant reduces identity complexity and supports predictable authentication behavior.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EE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4FA7DB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4FA7DB"/>
                <w:sz w:val="18"/>
                <w:szCs w:val="18"/>
              </w:rPr>
              <w:t>Recommended action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Confirm password expiration policy and validate that the technical notification address is monitored and backed up.</w:t>
            </w:r>
          </w:p>
        </w:tc>
      </w:tr>
    </w:tbl>
    <w:p>
      <w:r>
        <w:br w:type="page"/>
      </w:r>
    </w:p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w="104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SectionHeader"/>
              <w:spacing w:before="0" w:after="30"/>
            </w:pPr>
            <w:r>
              <w:rPr>
                <w:b/>
                <w:bCs/>
                <w:color w:val="FFFFFF"/>
                <w:sz w:val="25"/>
                <w:szCs w:val="25"/>
              </w:rPr>
              <w:t>Cost &amp; Licensing Review</w:t>
            </w:r>
          </w:p>
        </w:tc>
      </w:tr>
    </w:tbl>
    <w:tbl>
      <w:tblPr>
        <w:tblW w:w="10440" w:type="dxa"/>
        <w:tblLayout w:type="fixed"/>
        <w:tblCellSpacing w:w="120" w:type="dxa"/>
      </w:tblPr>
      <w:tblGrid>
        <w:gridCol w:w="3480"/>
        <w:gridCol w:w="3480"/>
        <w:gridCol w:w="3480"/>
      </w:tblGrid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12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LICENSED USERS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Microsoft 365 license assignments currently active in the tenant.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E74C3C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1,049,993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UNUSED LICENSES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Purchased licenses not currently assigned to any user.</w:t>
            </w:r>
          </w:p>
          <w:p>
            <w:pPr>
              <w:pStyle w:val="StatusBadge"/>
              <w:spacing w:before="0" w:after="20"/>
              <w:shd w:val="clear" w:color="auto" w:fill="FDE8E8"/>
            </w:pPr>
            <w:r>
              <w:rPr>
                <w:b/>
                <w:bCs/>
                <w:color w:val="E74C3C"/>
                <w:sz w:val="15"/>
                <w:szCs w:val="15"/>
              </w:rPr>
              <w:t>ACTION RECOMMENDED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CAD $40.00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EST. MONTHLY SPEND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Estimated total monthly license cost based on available SKU price data.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</w:tr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27AE6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DISABLED LICENSED USERS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Disabled accounts that still have Microsoft 365 licenses assigned.</w:t>
            </w:r>
          </w:p>
          <w:p>
            <w:pPr>
              <w:pStyle w:val="StatusBadge"/>
              <w:spacing w:before="0" w:after="20"/>
              <w:shd w:val="clear" w:color="auto" w:fill="D5F5E3"/>
            </w:pPr>
            <w:r>
              <w:rPr>
                <w:b/>
                <w:bCs/>
                <w:color w:val="27AE60"/>
                <w:sz w:val="15"/>
                <w:szCs w:val="15"/>
              </w:rPr>
              <w:t>HEALTHY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27AE6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STALE LICENSED USERS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Licensed accounts with no recent sign-in. May no longer need paid licenses.</w:t>
            </w:r>
          </w:p>
          <w:p>
            <w:pPr>
              <w:pStyle w:val="StatusBadge"/>
              <w:spacing w:before="0" w:after="20"/>
              <w:shd w:val="clear" w:color="auto" w:fill="D5F5E3"/>
            </w:pPr>
            <w:r>
              <w:rPr>
                <w:b/>
                <w:bCs/>
                <w:color w:val="27AE60"/>
                <w:sz w:val="15"/>
                <w:szCs w:val="15"/>
              </w:rPr>
              <w:t>HEALTHY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/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24" w:space="0" w:color="F39C12"/>
              <w:bottom w:val="single" w:sz="6" w:space="0" w:color="E2E8F0"/>
              <w:right w:val="single" w:sz="6" w:space="0" w:color="E2E8F0"/>
            </w:tcBorders>
          </w:tcPr>
          <w:p>
            <w:pPr>
              <w:pStyle w:val="StatusBadge"/>
              <w:spacing w:before="0" w:after="8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  <w:p>
            <w:pPr>
              <w:pStyle w:val="NarrativeHeadline"/>
              <w:spacing w:before="0" w:after="100"/>
            </w:pPr>
            <w:r>
              <w:rPr>
                <w:b/>
                <w:bCs/>
                <w:color w:val="1F2933"/>
                <w:sz w:val="24"/>
                <w:szCs w:val="24"/>
              </w:rPr>
              <w:t>License inventory shows significant SKU count anomaly</w:t>
            </w:r>
          </w:p>
          <w:p>
            <w:pPr>
              <w:pStyle w:val="Normal"/>
              <w:spacing w:before="0" w:after="60"/>
            </w:pPr>
            <w:r>
              <w:rPr>
                <w:color w:val="1F2933"/>
                <w:sz w:val="21"/>
                <w:szCs w:val="21"/>
              </w:rPr>
              <w:t>The tenant reports over one million purchased licenses but only 12 assigned, with an estimated total cost of $40 CAD per month. This discrepancy suggests reporting or SKU configuration issues rather than actual spend.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7F8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5A2F61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5A2F61"/>
                <w:sz w:val="18"/>
                <w:szCs w:val="18"/>
              </w:rPr>
              <w:t>Why it matters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Inaccurate license counts and missing pricing data can obscure true spend and complicate budgeting or compliance reviews.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EE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4FA7DB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4FA7DB"/>
                <w:sz w:val="18"/>
                <w:szCs w:val="18"/>
              </w:rPr>
              <w:t>Recommended action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Review license subscriptions in the Microsoft 365 admin center to validate actual quantities and ensure pricing data is complete for accurate cost reporting.</w:t>
            </w:r>
          </w:p>
        </w:tc>
      </w:tr>
    </w:tbl>
    <w:p>
      <w:r>
        <w:br w:type="page"/>
      </w:r>
    </w:p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w="104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SectionHeader"/>
              <w:spacing w:before="0" w:after="30"/>
            </w:pPr>
            <w:r>
              <w:rPr>
                <w:b/>
                <w:bCs/>
                <w:color w:val="FFFFFF"/>
                <w:sz w:val="25"/>
                <w:szCs w:val="25"/>
              </w:rPr>
              <w:t>License Optimisation</w:t>
            </w:r>
          </w:p>
        </w:tc>
      </w:tr>
    </w:tbl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24" w:space="0" w:color="F39C12"/>
              <w:bottom w:val="single" w:sz="6" w:space="0" w:color="E2E8F0"/>
              <w:right w:val="single" w:sz="6" w:space="0" w:color="E2E8F0"/>
            </w:tcBorders>
          </w:tcPr>
          <w:p>
            <w:pPr>
              <w:pStyle w:val="StatusBadge"/>
              <w:spacing w:before="0" w:after="8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  <w:p>
            <w:pPr>
              <w:pStyle w:val="NarrativeHeadline"/>
              <w:spacing w:before="0" w:after="100"/>
            </w:pPr>
            <w:r>
              <w:rPr>
                <w:b/>
                <w:bCs/>
                <w:color w:val="1F2933"/>
                <w:sz w:val="24"/>
                <w:szCs w:val="24"/>
              </w:rPr>
              <w:t>High reported unused license count requires validation</w:t>
            </w:r>
          </w:p>
          <w:p>
            <w:pPr>
              <w:pStyle w:val="Normal"/>
              <w:spacing w:before="0" w:after="60"/>
            </w:pPr>
            <w:r>
              <w:rPr>
                <w:color w:val="1F2933"/>
                <w:sz w:val="21"/>
                <w:szCs w:val="21"/>
              </w:rPr>
              <w:t>Nearly all reported licenses appear unused, but no direct cost impact is calculated. This likely reflects a reporting inconsistency rather than actual financial waste.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7F8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5A2F61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5A2F61"/>
                <w:sz w:val="18"/>
                <w:szCs w:val="18"/>
              </w:rPr>
              <w:t>Why it matters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If accurate, unused licenses could represent financial waste; if inaccurate, reporting gaps may undermine governance decisions.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EE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4FA7DB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4FA7DB"/>
                <w:sz w:val="18"/>
                <w:szCs w:val="18"/>
              </w:rPr>
              <w:t>Recommended action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Reconcile subscription counts against Microsoft billing to confirm true license quantities and eliminate reporting anomalies.</w:t>
            </w:r>
          </w:p>
        </w:tc>
      </w:tr>
    </w:tbl>
    <w:p>
      <w:r>
        <w:br w:type="page"/>
      </w:r>
    </w:p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w="104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SectionHeader"/>
              <w:spacing w:before="0" w:after="30"/>
            </w:pPr>
            <w:r>
              <w:rPr>
                <w:b/>
                <w:bCs/>
                <w:color w:val="FFFFFF"/>
                <w:sz w:val="25"/>
                <w:szCs w:val="25"/>
              </w:rPr>
              <w:t>Identity &amp; User Review</w:t>
            </w:r>
          </w:p>
        </w:tc>
      </w:tr>
    </w:tbl>
    <w:tbl>
      <w:tblPr>
        <w:tblW w:w="10440" w:type="dxa"/>
        <w:tblLayout w:type="fixed"/>
        <w:tblCellSpacing w:w="120" w:type="dxa"/>
      </w:tblPr>
      <w:tblGrid>
        <w:gridCol w:w="3480"/>
        <w:gridCol w:w="3480"/>
        <w:gridCol w:w="3480"/>
      </w:tblGrid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15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TOTAL USERS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All accounts in the tenant — 10 members and 5 guests.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F39C12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5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GUEST USERS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External users with access to tenant resources. Review periodically to confirm ongoing need.</w:t>
            </w:r>
          </w:p>
          <w:p>
            <w:pPr>
              <w:pStyle w:val="StatusBadge"/>
              <w:spacing w:before="0" w:after="2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767779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N/A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STALE USERS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Sign-in activity data was not collected this run. Enable sign-in reporting to detect dormant accounts.</w:t>
            </w:r>
          </w:p>
          <w:p>
            <w:pPr>
              <w:pStyle w:val="StatusBadge"/>
              <w:spacing w:before="0" w:after="20"/>
              <w:shd w:val="clear" w:color="auto" w:fill="F2F3F4"/>
            </w:pPr>
            <w:r>
              <w:rPr>
                <w:b/>
                <w:bCs/>
                <w:color w:val="767779"/>
                <w:sz w:val="15"/>
                <w:szCs w:val="15"/>
              </w:rPr>
              <w:t>NOT AVAILABLE</w:t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24" w:space="0" w:color="E74C3C"/>
              <w:bottom w:val="single" w:sz="6" w:space="0" w:color="E2E8F0"/>
              <w:right w:val="single" w:sz="6" w:space="0" w:color="E2E8F0"/>
            </w:tcBorders>
          </w:tcPr>
          <w:p>
            <w:pPr>
              <w:pStyle w:val="StatusBadge"/>
              <w:spacing w:before="0" w:after="80"/>
              <w:shd w:val="clear" w:color="auto" w:fill="FDE8E8"/>
            </w:pPr>
            <w:r>
              <w:rPr>
                <w:b/>
                <w:bCs/>
                <w:color w:val="E74C3C"/>
                <w:sz w:val="15"/>
                <w:szCs w:val="15"/>
              </w:rPr>
              <w:t>ACTION RECOMMENDED</w:t>
            </w:r>
          </w:p>
          <w:p>
            <w:pPr>
              <w:pStyle w:val="NarrativeHeadline"/>
              <w:spacing w:before="0" w:after="100"/>
            </w:pPr>
            <w:r>
              <w:rPr>
                <w:b/>
                <w:bCs/>
                <w:color w:val="1F2933"/>
                <w:sz w:val="24"/>
                <w:szCs w:val="24"/>
              </w:rPr>
              <w:t>Most users unlicensed and no sign-in tracking enabled</w:t>
            </w:r>
          </w:p>
          <w:p>
            <w:pPr>
              <w:pStyle w:val="Normal"/>
              <w:spacing w:before="0" w:after="60"/>
            </w:pPr>
            <w:r>
              <w:rPr>
                <w:color w:val="1F2933"/>
                <w:sz w:val="21"/>
                <w:szCs w:val="21"/>
              </w:rPr>
              <w:t>The tenant contains 15 users, but only 2 are licensed and sign-in activity reporting has not been enabled. This limits visibility into actual usage and risk.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7F8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5A2F61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5A2F61"/>
                <w:sz w:val="18"/>
                <w:szCs w:val="18"/>
              </w:rPr>
              <w:t>Why it matters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Limited licensing and lack of sign-in data reduce oversight of account activity and potential security exposure.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EE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4FA7DB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4FA7DB"/>
                <w:sz w:val="18"/>
                <w:szCs w:val="18"/>
              </w:rPr>
              <w:t>Recommended action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Enable Azure AD sign-in activity reporting and review whether unlicensed accounts are required or should be removed.</w:t>
            </w:r>
          </w:p>
        </w:tc>
      </w:tr>
    </w:tbl>
    <w:p>
      <w:r>
        <w:br w:type="page"/>
      </w:r>
    </w:p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w="104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SectionHeader"/>
              <w:spacing w:before="0" w:after="30"/>
            </w:pPr>
            <w:r>
              <w:rPr>
                <w:b/>
                <w:bCs/>
                <w:color w:val="FFFFFF"/>
                <w:sz w:val="25"/>
                <w:szCs w:val="25"/>
              </w:rPr>
              <w:t>Exchange &amp; Mail Flow</w:t>
            </w:r>
          </w:p>
        </w:tc>
      </w:tr>
    </w:tbl>
    <w:tbl>
      <w:tblPr>
        <w:tblW w:w="10440" w:type="dxa"/>
        <w:tblLayout w:type="fixed"/>
        <w:tblCellSpacing w:w="120" w:type="dxa"/>
      </w:tblPr>
      <w:tblGrid>
        <w:gridCol w:w="3480"/>
        <w:gridCol w:w="3480"/>
        <w:gridCol w:w="3480"/>
      </w:tblGrid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9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TOTAL MAILBOXES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All mailboxes in Exchange Online — 4 shared mailboxes included.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F39C12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2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MAILBOXES WITH FORWARDING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Mailboxes configured to forward messages to another address.</w:t>
            </w:r>
          </w:p>
          <w:p>
            <w:pPr>
              <w:pStyle w:val="StatusBadge"/>
              <w:spacing w:before="0" w:after="2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27AE6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EXTERNAL FORWARDING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Mailboxes suspected of forwarding messages outside the organisation. Should be reviewed.</w:t>
            </w:r>
          </w:p>
          <w:p>
            <w:pPr>
              <w:pStyle w:val="StatusBadge"/>
              <w:spacing w:before="0" w:after="20"/>
              <w:shd w:val="clear" w:color="auto" w:fill="D5F5E3"/>
            </w:pPr>
            <w:r>
              <w:rPr>
                <w:b/>
                <w:bCs/>
                <w:color w:val="27AE60"/>
                <w:sz w:val="15"/>
                <w:szCs w:val="15"/>
              </w:rPr>
              <w:t>HEALTHY</w:t>
            </w:r>
          </w:p>
        </w:tc>
      </w:tr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E74C3C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17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INBOX FORWARDING RULES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Inbox rules configured to redirect or forward messages found across scanned mailboxes.</w:t>
            </w:r>
          </w:p>
          <w:p>
            <w:pPr>
              <w:pStyle w:val="StatusBadge"/>
              <w:spacing w:before="0" w:after="20"/>
              <w:shd w:val="clear" w:color="auto" w:fill="FDE8E8"/>
            </w:pPr>
            <w:r>
              <w:rPr>
                <w:b/>
                <w:bCs/>
                <w:color w:val="E74C3C"/>
                <w:sz w:val="15"/>
                <w:szCs w:val="15"/>
              </w:rPr>
              <w:t>ACTION RECOMMENDED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/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/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24" w:space="0" w:color="E74C3C"/>
              <w:bottom w:val="single" w:sz="6" w:space="0" w:color="E2E8F0"/>
              <w:right w:val="single" w:sz="6" w:space="0" w:color="E2E8F0"/>
            </w:tcBorders>
          </w:tcPr>
          <w:p>
            <w:pPr>
              <w:pStyle w:val="StatusBadge"/>
              <w:spacing w:before="0" w:after="80"/>
              <w:shd w:val="clear" w:color="auto" w:fill="FDE8E8"/>
            </w:pPr>
            <w:r>
              <w:rPr>
                <w:b/>
                <w:bCs/>
                <w:color w:val="E74C3C"/>
                <w:sz w:val="15"/>
                <w:szCs w:val="15"/>
              </w:rPr>
              <w:t>ACTION RECOMMENDED</w:t>
            </w:r>
          </w:p>
          <w:p>
            <w:pPr>
              <w:pStyle w:val="NarrativeHeadline"/>
              <w:spacing w:before="0" w:after="100"/>
            </w:pPr>
            <w:r>
              <w:rPr>
                <w:b/>
                <w:bCs/>
                <w:color w:val="1F2933"/>
                <w:sz w:val="24"/>
                <w:szCs w:val="24"/>
              </w:rPr>
              <w:t>Mailbox storage heavily concentrated in one shared mailbox</w:t>
            </w:r>
          </w:p>
          <w:p>
            <w:pPr>
              <w:pStyle w:val="Normal"/>
              <w:spacing w:before="0" w:after="60"/>
            </w:pPr>
            <w:r>
              <w:rPr>
                <w:color w:val="1F2933"/>
                <w:sz w:val="21"/>
                <w:szCs w:val="21"/>
              </w:rPr>
              <w:t>Email usage is modest overall, but one shared mailbox holds nearly all reported storage. Two mailboxes have forwarding enabled, both routing internally.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7F8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5A2F61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5A2F61"/>
                <w:sz w:val="18"/>
                <w:szCs w:val="18"/>
              </w:rPr>
              <w:t>Why it matters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Mailbox size anomalies and forwarding rules can mask data governance or security risks if not validated.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EE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4FA7DB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4FA7DB"/>
                <w:sz w:val="18"/>
                <w:szCs w:val="18"/>
              </w:rPr>
              <w:t>Recommended action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Validate mailbox statistics for accuracy, review the Escala shared mailbox, and assess the necessity of existing inbox forwarding rules.</w:t>
            </w:r>
          </w:p>
        </w:tc>
      </w:tr>
    </w:tbl>
    <w:p>
      <w:r>
        <w:br w:type="page"/>
      </w:r>
    </w:p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w="104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SectionHeader"/>
              <w:spacing w:before="0" w:after="30"/>
            </w:pPr>
            <w:r>
              <w:rPr>
                <w:b/>
                <w:bCs/>
                <w:color w:val="FFFFFF"/>
                <w:sz w:val="25"/>
                <w:szCs w:val="25"/>
              </w:rPr>
              <w:t>SharePoint &amp; OneDrive</w:t>
            </w:r>
          </w:p>
        </w:tc>
      </w:tr>
    </w:tbl>
    <w:tbl>
      <w:tblPr>
        <w:tblW w:w="10440" w:type="dxa"/>
        <w:tblLayout w:type="fixed"/>
        <w:tblCellSpacing w:w="120" w:type="dxa"/>
      </w:tblPr>
      <w:tblGrid>
        <w:gridCol w:w="3480"/>
        <w:gridCol w:w="3480"/>
        <w:gridCol w:w="3480"/>
      </w:tblGrid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38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SHAREPOINT SITES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Total SharePoint Online sites in the tenant.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22.1 GB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SHAREPOINT STORAGE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Total storage used across all SharePoint sites.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27AE6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EXTERNAL SHARING SITES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Sites with external sharing enabled. Should be intentional and regularly reviewed.</w:t>
            </w:r>
          </w:p>
          <w:p>
            <w:pPr>
              <w:pStyle w:val="StatusBadge"/>
              <w:spacing w:before="0" w:after="20"/>
              <w:shd w:val="clear" w:color="auto" w:fill="D5F5E3"/>
            </w:pPr>
            <w:r>
              <w:rPr>
                <w:b/>
                <w:bCs/>
                <w:color w:val="27AE60"/>
                <w:sz w:val="15"/>
                <w:szCs w:val="15"/>
              </w:rPr>
              <w:t>HEALTHY</w:t>
            </w:r>
          </w:p>
        </w:tc>
      </w:tr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ONEDRIVE ACCOUNTS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Personal OneDrive accounts provisioned in the tenant.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/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/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24" w:space="0" w:color="27AE60"/>
              <w:bottom w:val="single" w:sz="6" w:space="0" w:color="E2E8F0"/>
              <w:right w:val="single" w:sz="6" w:space="0" w:color="E2E8F0"/>
            </w:tcBorders>
          </w:tcPr>
          <w:p>
            <w:pPr>
              <w:pStyle w:val="StatusBadge"/>
              <w:spacing w:before="0" w:after="80"/>
              <w:shd w:val="clear" w:color="auto" w:fill="D5F5E3"/>
            </w:pPr>
            <w:r>
              <w:rPr>
                <w:b/>
                <w:bCs/>
                <w:color w:val="27AE60"/>
                <w:sz w:val="15"/>
                <w:szCs w:val="15"/>
              </w:rPr>
              <w:t>HEALTHY</w:t>
            </w:r>
          </w:p>
          <w:p>
            <w:pPr>
              <w:pStyle w:val="NarrativeHeadline"/>
              <w:spacing w:before="0" w:after="100"/>
            </w:pPr>
            <w:r>
              <w:rPr>
                <w:b/>
                <w:bCs/>
                <w:color w:val="1F2933"/>
                <w:sz w:val="24"/>
                <w:szCs w:val="24"/>
              </w:rPr>
              <w:t>Low SharePoint utilization with no external sharing</w:t>
            </w:r>
          </w:p>
          <w:p>
            <w:pPr>
              <w:pStyle w:val="Normal"/>
              <w:spacing w:before="0" w:after="60"/>
            </w:pPr>
            <w:r>
              <w:rPr>
                <w:color w:val="1F2933"/>
                <w:sz w:val="21"/>
                <w:szCs w:val="21"/>
              </w:rPr>
              <w:t>SharePoint usage is light, with 38 sites consuming a small portion of the available storage and no external sharing enabled. OneDrive reporting was not collected.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7F8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5A2F61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5A2F61"/>
                <w:sz w:val="18"/>
                <w:szCs w:val="18"/>
              </w:rPr>
              <w:t>Why it matters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Low storage utilization reduces risk, but missing OneDrive visibility limits full assessment of data exposure.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EE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4FA7DB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4FA7DB"/>
                <w:sz w:val="18"/>
                <w:szCs w:val="18"/>
              </w:rPr>
              <w:t>Recommended action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Enable OneDrive reporting and periodically review site ownership and lifecycle to prevent sprawl.</w:t>
            </w:r>
          </w:p>
        </w:tc>
      </w:tr>
    </w:tbl>
    <w:p>
      <w:r>
        <w:br w:type="page"/>
      </w:r>
    </w:p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w="104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SectionHeader"/>
              <w:spacing w:before="0" w:after="30"/>
            </w:pPr>
            <w:r>
              <w:rPr>
                <w:b/>
                <w:bCs/>
                <w:color w:val="FFFFFF"/>
                <w:sz w:val="25"/>
                <w:szCs w:val="25"/>
              </w:rPr>
              <w:t>Teams Collaboration</w:t>
            </w:r>
          </w:p>
        </w:tc>
      </w:tr>
    </w:tbl>
    <w:tbl>
      <w:tblPr>
        <w:tblW w:w="10440" w:type="dxa"/>
        <w:tblLayout w:type="fixed"/>
        <w:tblCellSpacing w:w="120" w:type="dxa"/>
      </w:tblPr>
      <w:tblGrid>
        <w:gridCol w:w="3480"/>
        <w:gridCol w:w="3480"/>
        <w:gridCol w:w="3480"/>
      </w:tblGrid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3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TOTAL TEAMS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Microsoft Teams workspaces in the tenant.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F39C12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2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INACTIVE TEAMS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Teams with no recorded activity in the last 90 days. May be candidates for archiving.</w:t>
            </w:r>
          </w:p>
          <w:p>
            <w:pPr>
              <w:pStyle w:val="StatusBadge"/>
              <w:spacing w:before="0" w:after="2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27AE6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TEAMS WITHOUT OWNERS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Teams with no assigned owner — an unmanaged workspace with no accountable steward.</w:t>
            </w:r>
          </w:p>
          <w:p>
            <w:pPr>
              <w:pStyle w:val="StatusBadge"/>
              <w:spacing w:before="0" w:after="20"/>
              <w:shd w:val="clear" w:color="auto" w:fill="D5F5E3"/>
            </w:pPr>
            <w:r>
              <w:rPr>
                <w:b/>
                <w:bCs/>
                <w:color w:val="27AE60"/>
                <w:sz w:val="15"/>
                <w:szCs w:val="15"/>
              </w:rPr>
              <w:t>HEALTHY</w:t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24" w:space="0" w:color="F39C12"/>
              <w:bottom w:val="single" w:sz="6" w:space="0" w:color="E2E8F0"/>
              <w:right w:val="single" w:sz="6" w:space="0" w:color="E2E8F0"/>
            </w:tcBorders>
          </w:tcPr>
          <w:p>
            <w:pPr>
              <w:pStyle w:val="StatusBadge"/>
              <w:spacing w:before="0" w:after="8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  <w:p>
            <w:pPr>
              <w:pStyle w:val="NarrativeHeadline"/>
              <w:spacing w:before="0" w:after="100"/>
            </w:pPr>
            <w:r>
              <w:rPr>
                <w:b/>
                <w:bCs/>
                <w:color w:val="1F2933"/>
                <w:sz w:val="24"/>
                <w:szCs w:val="24"/>
              </w:rPr>
              <w:t>Minimal Teams activity in the last 90 days</w:t>
            </w:r>
          </w:p>
          <w:p>
            <w:pPr>
              <w:pStyle w:val="Normal"/>
              <w:spacing w:before="0" w:after="60"/>
            </w:pPr>
            <w:r>
              <w:rPr>
                <w:color w:val="1F2933"/>
                <w:sz w:val="21"/>
                <w:szCs w:val="21"/>
              </w:rPr>
              <w:t>Microsoft Teams is deployed but shows no measurable activity in the past 90 days. All teams are private and none are archived.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7F8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5A2F61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5A2F61"/>
                <w:sz w:val="18"/>
                <w:szCs w:val="18"/>
              </w:rPr>
              <w:t>Why it matters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Underutilized collaboration tools may indicate missed productivity opportunities or redundant configuration.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EE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4FA7DB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4FA7DB"/>
                <w:sz w:val="18"/>
                <w:szCs w:val="18"/>
              </w:rPr>
              <w:t>Recommended action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Confirm whether Teams is intended for active collaboration and archive or remove unused teams if not required.</w:t>
            </w:r>
          </w:p>
        </w:tc>
      </w:tr>
    </w:tbl>
    <w:p>
      <w:r>
        <w:br w:type="page"/>
      </w:r>
    </w:p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w="104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SectionHeader"/>
              <w:spacing w:before="0" w:after="30"/>
            </w:pPr>
            <w:r>
              <w:rPr>
                <w:b/>
                <w:bCs/>
                <w:color w:val="FFFFFF"/>
                <w:sz w:val="25"/>
                <w:szCs w:val="25"/>
              </w:rPr>
              <w:t>Devices &amp; Endpoints</w:t>
            </w:r>
          </w:p>
        </w:tc>
      </w:tr>
    </w:tbl>
    <w:tbl>
      <w:tblPr>
        <w:tblW w:w="10440" w:type="dxa"/>
        <w:tblLayout w:type="fixed"/>
        <w:tblCellSpacing w:w="120" w:type="dxa"/>
      </w:tblPr>
      <w:tblGrid>
        <w:gridCol w:w="3480"/>
        <w:gridCol w:w="3480"/>
        <w:gridCol w:w="3480"/>
      </w:tblGrid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9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TOTAL DEVICES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Devices registered in Entra ID — 6 Windows, 3 Android.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F39C12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5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STALE DEVICES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Devices that have not checked in recently. May represent decommissioned endpoints.</w:t>
            </w:r>
          </w:p>
          <w:p>
            <w:pPr>
              <w:pStyle w:val="StatusBadge"/>
              <w:spacing w:before="0" w:after="2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F39C12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INTUNE MANAGED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Devices actively managed through Microsoft Intune for compliance and policy enforcement.</w:t>
            </w:r>
          </w:p>
          <w:p>
            <w:pPr>
              <w:pStyle w:val="StatusBadge"/>
              <w:spacing w:before="0" w:after="2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24" w:space="0" w:color="E74C3C"/>
              <w:bottom w:val="single" w:sz="6" w:space="0" w:color="E2E8F0"/>
              <w:right w:val="single" w:sz="6" w:space="0" w:color="E2E8F0"/>
            </w:tcBorders>
          </w:tcPr>
          <w:p>
            <w:pPr>
              <w:pStyle w:val="StatusBadge"/>
              <w:spacing w:before="0" w:after="80"/>
              <w:shd w:val="clear" w:color="auto" w:fill="FDE8E8"/>
            </w:pPr>
            <w:r>
              <w:rPr>
                <w:b/>
                <w:bCs/>
                <w:color w:val="E74C3C"/>
                <w:sz w:val="15"/>
                <w:szCs w:val="15"/>
              </w:rPr>
              <w:t>ACTION RECOMMENDED</w:t>
            </w:r>
          </w:p>
          <w:p>
            <w:pPr>
              <w:pStyle w:val="NarrativeHeadline"/>
              <w:spacing w:before="0" w:after="100"/>
            </w:pPr>
            <w:r>
              <w:rPr>
                <w:b/>
                <w:bCs/>
                <w:color w:val="1F2933"/>
                <w:sz w:val="24"/>
                <w:szCs w:val="24"/>
              </w:rPr>
              <w:t>Devices unmanaged and several marked stale</w:t>
            </w:r>
          </w:p>
          <w:p>
            <w:pPr>
              <w:pStyle w:val="Normal"/>
              <w:spacing w:before="0" w:after="60"/>
            </w:pPr>
            <w:r>
              <w:rPr>
                <w:color w:val="1F2933"/>
                <w:sz w:val="21"/>
                <w:szCs w:val="21"/>
              </w:rPr>
              <w:t>Nine devices are registered, but none are managed through Intune and over half are considered stale. Compliance status is unknown for all devices.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7F8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5A2F61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5A2F61"/>
                <w:sz w:val="18"/>
                <w:szCs w:val="18"/>
              </w:rPr>
              <w:t>Why it matters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Unmanaged and stale devices increase the risk of unauthorized access and reduce control over corporate data.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EE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4FA7DB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4FA7DB"/>
                <w:sz w:val="18"/>
                <w:szCs w:val="18"/>
              </w:rPr>
              <w:t>Recommended action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Implement Intune device management and review or remove stale device registrations.</w:t>
            </w:r>
          </w:p>
        </w:tc>
      </w:tr>
    </w:tbl>
    <w:p>
      <w:r>
        <w:br w:type="page"/>
      </w:r>
    </w:p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w="104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SectionHeader"/>
              <w:spacing w:before="0" w:after="30"/>
            </w:pPr>
            <w:r>
              <w:rPr>
                <w:b/>
                <w:bCs/>
                <w:color w:val="FFFFFF"/>
                <w:sz w:val="25"/>
                <w:szCs w:val="25"/>
              </w:rPr>
              <w:t>Copilot Review</w:t>
            </w:r>
          </w:p>
        </w:tc>
      </w:tr>
    </w:tbl>
    <w:tbl>
      <w:tblPr>
        <w:tblW w:w="10440" w:type="dxa"/>
        <w:tblLayout w:type="fixed"/>
        <w:tblCellSpacing w:w="120" w:type="dxa"/>
      </w:tblPr>
      <w:tblGrid>
        <w:gridCol w:w="3480"/>
        <w:gridCol w:w="3480"/>
        <w:gridCol w:w="3480"/>
      </w:tblGrid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1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COPILOT LICENSES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Microsoft 365 Copilot licenses purchased for the tenant.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27AE6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UNUSED COPILOT LICENSES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Copilot licenses purchased but not yet assigned to any user.</w:t>
            </w:r>
          </w:p>
          <w:p>
            <w:pPr>
              <w:pStyle w:val="StatusBadge"/>
              <w:spacing w:before="0" w:after="20"/>
              <w:shd w:val="clear" w:color="auto" w:fill="D5F5E3"/>
            </w:pPr>
            <w:r>
              <w:rPr>
                <w:b/>
                <w:bCs/>
                <w:color w:val="27AE60"/>
                <w:sz w:val="15"/>
                <w:szCs w:val="15"/>
              </w:rPr>
              <w:t>HEALTHY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767779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N/A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ACTIVE COPILOT USERS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Usage activity data was not collected this run. Enable Copilot usage reporting for adoption insight.</w:t>
            </w:r>
          </w:p>
          <w:p>
            <w:pPr>
              <w:pStyle w:val="StatusBadge"/>
              <w:spacing w:before="0" w:after="20"/>
              <w:shd w:val="clear" w:color="auto" w:fill="F2F3F4"/>
            </w:pPr>
            <w:r>
              <w:rPr>
                <w:b/>
                <w:bCs/>
                <w:color w:val="767779"/>
                <w:sz w:val="15"/>
                <w:szCs w:val="15"/>
              </w:rPr>
              <w:t>NOT AVAILABLE</w:t>
            </w:r>
          </w:p>
        </w:tc>
      </w:tr>
      <w:tr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22" w:space="0" w:color="4FA7DB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KPIValue"/>
              <w:spacing w:before="0" w:after="10"/>
            </w:pPr>
            <w:r>
              <w:rPr>
                <w:b/>
                <w:bCs/>
                <w:color w:val="5A2F61"/>
                <w:sz w:val="34"/>
                <w:szCs w:val="34"/>
              </w:rPr>
              <w:t>CAD $40.00</w:t>
            </w:r>
          </w:p>
          <w:p>
            <w:pPr>
              <w:pStyle w:val="KPILabel"/>
              <w:spacing w:before="0" w:after="50"/>
            </w:pPr>
            <w:r>
              <w:rPr>
                <w:b/>
                <w:bCs/>
                <w:color w:val="767779"/>
                <w:sz w:val="16"/>
                <w:szCs w:val="16"/>
              </w:rPr>
              <w:t>COPILOT MONTHLY SPEND</w:t>
            </w:r>
          </w:p>
          <w:p>
            <w:pPr>
              <w:pStyle w:val="KPIDescription"/>
              <w:spacing w:before="0" w:after="100"/>
            </w:pPr>
            <w:r>
              <w:rPr>
                <w:color w:val="5F6570"/>
                <w:sz w:val="17"/>
                <w:szCs w:val="17"/>
              </w:rPr>
              <w:t>Estimated monthly cost for all Copilot licenses based on available price data.</w:t>
            </w:r>
          </w:p>
          <w:p>
            <w:pPr>
              <w:pStyle w:val="StatusBadge"/>
              <w:spacing w:before="0" w:after="2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/>
            </w:r>
          </w:p>
        </w:tc>
        <w:tc>
          <w:tcPr>
            <w:tcW w:w="3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/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24" w:space="0" w:color="4FA7DB"/>
              <w:bottom w:val="single" w:sz="6" w:space="0" w:color="E2E8F0"/>
              <w:right w:val="single" w:sz="6" w:space="0" w:color="E2E8F0"/>
            </w:tcBorders>
          </w:tcPr>
          <w:p>
            <w:pPr>
              <w:pStyle w:val="StatusBadge"/>
              <w:spacing w:before="0" w:after="80"/>
              <w:shd w:val="clear" w:color="auto" w:fill="EBF5FB"/>
            </w:pPr>
            <w:r>
              <w:rPr>
                <w:b/>
                <w:bCs/>
                <w:color w:val="4FA7DB"/>
                <w:sz w:val="15"/>
                <w:szCs w:val="15"/>
              </w:rPr>
              <w:t>INFO</w:t>
            </w:r>
          </w:p>
          <w:p>
            <w:pPr>
              <w:pStyle w:val="NarrativeHeadline"/>
              <w:spacing w:before="0" w:after="100"/>
            </w:pPr>
            <w:r>
              <w:rPr>
                <w:b/>
                <w:bCs/>
                <w:color w:val="1F2933"/>
                <w:sz w:val="24"/>
                <w:szCs w:val="24"/>
              </w:rPr>
              <w:t>Single Copilot license fully assigned</w:t>
            </w:r>
          </w:p>
          <w:p>
            <w:pPr>
              <w:pStyle w:val="Normal"/>
              <w:spacing w:before="0" w:after="60"/>
            </w:pPr>
            <w:r>
              <w:rPr>
                <w:color w:val="1F2933"/>
                <w:sz w:val="21"/>
                <w:szCs w:val="21"/>
              </w:rPr>
              <w:t>One Microsoft Copilot license is purchased and assigned, with no unused capacity. Usage reporting has not been enabled.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F7F8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5A2F61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5A2F61"/>
                <w:sz w:val="18"/>
                <w:szCs w:val="18"/>
              </w:rPr>
              <w:t>Why it matters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Without usage insights, it is unclear whether the Copilot investment is delivering value.</w:t>
            </w:r>
          </w:p>
        </w:tc>
      </w:tr>
    </w:tbl>
    <w:p>
      <w:pPr>
        <w:spacing w:after="8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shd w:val="clear" w:color="auto" w:fill="EEF3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4FA7DB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4FA7DB"/>
                <w:sz w:val="18"/>
                <w:szCs w:val="18"/>
              </w:rPr>
              <w:t>Recommended action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Enable Copilot usage reporting to measure adoption and return on investment.</w:t>
            </w:r>
          </w:p>
        </w:tc>
      </w:tr>
    </w:tbl>
    <w:p>
      <w:r>
        <w:br w:type="page"/>
      </w:r>
    </w:p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w="104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SectionHeader"/>
              <w:spacing w:before="0" w:after="30"/>
            </w:pPr>
            <w:r>
              <w:rPr>
                <w:b/>
                <w:bCs/>
                <w:color w:val="FFFFFF"/>
                <w:sz w:val="25"/>
                <w:szCs w:val="25"/>
              </w:rPr>
              <w:t>Top Recommendations</w:t>
            </w:r>
          </w:p>
          <w:p>
            <w:pPr>
              <w:pStyle w:val="SectionSubtitle"/>
              <w:spacing w:before="0" w:after="0"/>
            </w:pPr>
            <w:r>
              <w:rPr>
                <w:color w:val="E9DDF0"/>
                <w:sz w:val="17"/>
                <w:szCs w:val="17"/>
              </w:rPr>
              <w:t>Prioritised actions to improve the tenant</w:t>
            </w:r>
          </w:p>
        </w:tc>
      </w:tr>
    </w:tbl>
    <w:tbl>
      <w:tblPr>
        <w:tblW w:w="10440" w:type="dxa"/>
        <w:tblLayout w:type="fixed"/>
      </w:tblPr>
      <w:tblGrid>
        <w:gridCol w:w="900"/>
        <w:gridCol w:w="9540"/>
      </w:tblGrid>
      <w:tr>
        <w:tc>
          <w:tcPr>
            <w:tcW w:w="9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RecommendationPriority"/>
              <w:jc w:val="center"/>
              <w:spacing w:before="0"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P1</w:t>
            </w:r>
          </w:p>
        </w:tc>
        <w:tc>
          <w:tcPr>
            <w:tcW w:w="95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NarrativeHeadline"/>
              <w:spacing w:before="0" w:after="50"/>
            </w:pPr>
            <w:r>
              <w:rPr>
                <w:b/>
                <w:bCs/>
                <w:color w:val="1F2933"/>
                <w:sz w:val="23"/>
                <w:szCs w:val="23"/>
              </w:rPr>
              <w:t>Review 1049993 unassigned licenses before next renewal</w:t>
            </w:r>
          </w:p>
          <w:p>
            <w:pPr>
              <w:pStyle w:val="Normal"/>
              <w:spacing w:before="0" w:after="90"/>
            </w:pPr>
            <w:r>
              <w:rPr>
                <w:color w:val="5F6570"/>
                <w:sz w:val="19"/>
                <w:szCs w:val="19"/>
              </w:rPr>
              <w:t>1049993 purchased licenses are not currently assigned. Confirm whether they are reserved for upcoming growth or can be reduced at renewal.</w:t>
            </w:r>
          </w:p>
          <w:p>
            <w:pPr>
              <w:pStyle w:val="TableText"/>
              <w:spacing w:before="0" w:after="50"/>
            </w:pPr>
            <w:r>
              <w:rPr>
                <w:color w:val="5F6570"/>
                <w:sz w:val="17"/>
                <w:szCs w:val="17"/>
              </w:rPr>
              <w:t xml:space="preserve">Category: Licensing    Owner: License Manager / Finance    Effort: Low    Impact: Medium</w:t>
            </w:r>
          </w:p>
          <w:p>
            <w:pPr>
              <w:pStyle w:val="StatusBadge"/>
              <w:spacing w:before="0" w:after="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</w:tblPr>
      <w:tblGrid>
        <w:gridCol w:w="900"/>
        <w:gridCol w:w="9540"/>
      </w:tblGrid>
      <w:tr>
        <w:tc>
          <w:tcPr>
            <w:tcW w:w="9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RecommendationPriority"/>
              <w:jc w:val="center"/>
              <w:spacing w:before="0"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P2</w:t>
            </w:r>
          </w:p>
        </w:tc>
        <w:tc>
          <w:tcPr>
            <w:tcW w:w="95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NarrativeHeadline"/>
              <w:spacing w:before="0" w:after="50"/>
            </w:pPr>
            <w:r>
              <w:rPr>
                <w:b/>
                <w:bCs/>
                <w:color w:val="1F2933"/>
                <w:sz w:val="23"/>
                <w:szCs w:val="23"/>
              </w:rPr>
              <w:t>Review 17 inbox forwarding rules</w:t>
            </w:r>
          </w:p>
          <w:p>
            <w:pPr>
              <w:pStyle w:val="Normal"/>
              <w:spacing w:before="0" w:after="90"/>
            </w:pPr>
            <w:r>
              <w:rPr>
                <w:color w:val="5F6570"/>
                <w:sz w:val="19"/>
                <w:szCs w:val="19"/>
              </w:rPr>
              <w:t>Inbox rules that redirect or forward messages can route sensitive information outside the organisation if not governed. Each rule should be confirmed as intentional.</w:t>
            </w:r>
          </w:p>
          <w:p>
            <w:pPr>
              <w:pStyle w:val="TableText"/>
              <w:spacing w:before="0" w:after="50"/>
            </w:pPr>
            <w:r>
              <w:rPr>
                <w:color w:val="5F6570"/>
                <w:sz w:val="17"/>
                <w:szCs w:val="17"/>
              </w:rPr>
              <w:t xml:space="preserve">Category: Exchange    Owner: Exchange Admin    Effort: Medium    Impact: Medium</w:t>
            </w:r>
          </w:p>
          <w:p>
            <w:pPr>
              <w:pStyle w:val="StatusBadge"/>
              <w:spacing w:before="0" w:after="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</w:tblPr>
      <w:tblGrid>
        <w:gridCol w:w="900"/>
        <w:gridCol w:w="9540"/>
      </w:tblGrid>
      <w:tr>
        <w:tc>
          <w:tcPr>
            <w:tcW w:w="9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RecommendationPriority"/>
              <w:jc w:val="center"/>
              <w:spacing w:before="0"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P3</w:t>
            </w:r>
          </w:p>
        </w:tc>
        <w:tc>
          <w:tcPr>
            <w:tcW w:w="95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NarrativeHeadline"/>
              <w:spacing w:before="0" w:after="50"/>
            </w:pPr>
            <w:r>
              <w:rPr>
                <w:b/>
                <w:bCs/>
                <w:color w:val="1F2933"/>
                <w:sz w:val="23"/>
                <w:szCs w:val="23"/>
              </w:rPr>
              <w:t>Archive or clean up 2 inactive Teams</w:t>
            </w:r>
          </w:p>
          <w:p>
            <w:pPr>
              <w:pStyle w:val="Normal"/>
              <w:spacing w:before="0" w:after="90"/>
            </w:pPr>
            <w:r>
              <w:rPr>
                <w:color w:val="5F6570"/>
                <w:sz w:val="19"/>
                <w:szCs w:val="19"/>
              </w:rPr>
              <w:t>2 Teams have had no recorded activity in the last 90 days. Archiving removes clutter and prevents unmanaged access to stale content.</w:t>
            </w:r>
          </w:p>
          <w:p>
            <w:pPr>
              <w:pStyle w:val="TableText"/>
              <w:spacing w:before="0" w:after="50"/>
            </w:pPr>
            <w:r>
              <w:rPr>
                <w:color w:val="5F6570"/>
                <w:sz w:val="17"/>
                <w:szCs w:val="17"/>
              </w:rPr>
              <w:t xml:space="preserve">Category: Teams    Owner: Teams Admin / Team Owners    Effort: Low    Impact: Low</w:t>
            </w:r>
          </w:p>
          <w:p>
            <w:pPr>
              <w:pStyle w:val="StatusBadge"/>
              <w:spacing w:before="0" w:after="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</w:tblPr>
      <w:tblGrid>
        <w:gridCol w:w="900"/>
        <w:gridCol w:w="9540"/>
      </w:tblGrid>
      <w:tr>
        <w:tc>
          <w:tcPr>
            <w:tcW w:w="9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RecommendationPriority"/>
              <w:jc w:val="center"/>
              <w:spacing w:before="0"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P4</w:t>
            </w:r>
          </w:p>
        </w:tc>
        <w:tc>
          <w:tcPr>
            <w:tcW w:w="95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NarrativeHeadline"/>
              <w:spacing w:before="0" w:after="50"/>
            </w:pPr>
            <w:r>
              <w:rPr>
                <w:b/>
                <w:bCs/>
                <w:color w:val="1F2933"/>
                <w:sz w:val="23"/>
                <w:szCs w:val="23"/>
              </w:rPr>
              <w:t>Clean up 5 stale device records</w:t>
            </w:r>
          </w:p>
          <w:p>
            <w:pPr>
              <w:pStyle w:val="Normal"/>
              <w:spacing w:before="0" w:after="90"/>
            </w:pPr>
            <w:r>
              <w:rPr>
                <w:color w:val="5F6570"/>
                <w:sz w:val="19"/>
                <w:szCs w:val="19"/>
              </w:rPr>
              <w:t>Stale device records in Entra ID can skew compliance reporting and may represent endpoints that no longer have an active relationship with the tenant.</w:t>
            </w:r>
          </w:p>
          <w:p>
            <w:pPr>
              <w:pStyle w:val="TableText"/>
              <w:spacing w:before="0" w:after="50"/>
            </w:pPr>
            <w:r>
              <w:rPr>
                <w:color w:val="5F6570"/>
                <w:sz w:val="17"/>
                <w:szCs w:val="17"/>
              </w:rPr>
              <w:t xml:space="preserve">Category: Devices    Owner: IT Admin / Endpoint Team    Effort: Low    Impact: Medium</w:t>
            </w:r>
          </w:p>
          <w:p>
            <w:pPr>
              <w:pStyle w:val="StatusBadge"/>
              <w:spacing w:before="0" w:after="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</w:tblPr>
      <w:tblGrid>
        <w:gridCol w:w="900"/>
        <w:gridCol w:w="9540"/>
      </w:tblGrid>
      <w:tr>
        <w:tc>
          <w:tcPr>
            <w:tcW w:w="9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RecommendationPriority"/>
              <w:jc w:val="center"/>
              <w:spacing w:before="0"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P5</w:t>
            </w:r>
          </w:p>
        </w:tc>
        <w:tc>
          <w:tcPr>
            <w:tcW w:w="95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NarrativeHeadline"/>
              <w:spacing w:before="0" w:after="50"/>
            </w:pPr>
            <w:r>
              <w:rPr>
                <w:b/>
                <w:bCs/>
                <w:color w:val="1F2933"/>
                <w:sz w:val="23"/>
                <w:szCs w:val="23"/>
              </w:rPr>
              <w:t>Consider enrolling devices in Intune for management and compliance coverage</w:t>
            </w:r>
          </w:p>
          <w:p>
            <w:pPr>
              <w:pStyle w:val="Normal"/>
              <w:spacing w:before="0" w:after="90"/>
            </w:pPr>
            <w:r>
              <w:rPr>
                <w:color w:val="5F6570"/>
                <w:sz w:val="19"/>
                <w:szCs w:val="19"/>
              </w:rPr>
              <w:t>No devices appear to be Intune-managed. Intune provides compliance checking, policy enforcement, and Conditional Access integration — all of which strengthen security posture.</w:t>
            </w:r>
          </w:p>
          <w:p>
            <w:pPr>
              <w:pStyle w:val="TableText"/>
              <w:spacing w:before="0" w:after="50"/>
            </w:pPr>
            <w:r>
              <w:rPr>
                <w:color w:val="5F6570"/>
                <w:sz w:val="17"/>
                <w:szCs w:val="17"/>
              </w:rPr>
              <w:t xml:space="preserve">Category: Devices    Owner: IT Admin / Security    Effort: High    Impact: High</w:t>
            </w:r>
          </w:p>
          <w:p>
            <w:pPr>
              <w:pStyle w:val="StatusBadge"/>
              <w:spacing w:before="0" w:after="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</w:tblPr>
      <w:tblGrid>
        <w:gridCol w:w="900"/>
        <w:gridCol w:w="9540"/>
      </w:tblGrid>
      <w:tr>
        <w:tc>
          <w:tcPr>
            <w:tcW w:w="9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RecommendationPriority"/>
              <w:jc w:val="center"/>
              <w:spacing w:before="0"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P6</w:t>
            </w:r>
          </w:p>
        </w:tc>
        <w:tc>
          <w:tcPr>
            <w:tcW w:w="95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NarrativeHeadline"/>
              <w:spacing w:before="0" w:after="50"/>
            </w:pPr>
            <w:r>
              <w:rPr>
                <w:b/>
                <w:bCs/>
                <w:color w:val="1F2933"/>
                <w:sz w:val="23"/>
                <w:szCs w:val="23"/>
              </w:rPr>
              <w:t>Enable Copilot usage reporting to measure adoption</w:t>
            </w:r>
          </w:p>
          <w:p>
            <w:pPr>
              <w:pStyle w:val="Normal"/>
              <w:spacing w:before="0" w:after="90"/>
            </w:pPr>
            <w:r>
              <w:rPr>
                <w:color w:val="5F6570"/>
                <w:sz w:val="19"/>
                <w:szCs w:val="19"/>
              </w:rPr>
              <w:t>Usage activity data was not collected this run. Without it, it is not possible to confirm whether Copilot licenses are being actively used and delivering value.</w:t>
            </w:r>
          </w:p>
          <w:p>
            <w:pPr>
              <w:pStyle w:val="TableText"/>
              <w:spacing w:before="0" w:after="50"/>
            </w:pPr>
            <w:r>
              <w:rPr>
                <w:color w:val="5F6570"/>
                <w:sz w:val="17"/>
                <w:szCs w:val="17"/>
              </w:rPr>
              <w:t xml:space="preserve">Category: Copilot    Owner: IT Admin    Effort: Low    Impact: Medium</w:t>
            </w:r>
          </w:p>
          <w:p>
            <w:pPr>
              <w:pStyle w:val="StatusBadge"/>
              <w:spacing w:before="0" w:after="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</w:tblPr>
      <w:tblGrid>
        <w:gridCol w:w="900"/>
        <w:gridCol w:w="9540"/>
      </w:tblGrid>
      <w:tr>
        <w:tc>
          <w:tcPr>
            <w:tcW w:w="9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RecommendationPriority"/>
              <w:jc w:val="center"/>
              <w:spacing w:before="0"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P7</w:t>
            </w:r>
          </w:p>
        </w:tc>
        <w:tc>
          <w:tcPr>
            <w:tcW w:w="95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NarrativeHeadline"/>
              <w:spacing w:before="0" w:after="50"/>
            </w:pPr>
            <w:r>
              <w:rPr>
                <w:b/>
                <w:bCs/>
                <w:color w:val="1F2933"/>
                <w:sz w:val="23"/>
                <w:szCs w:val="23"/>
              </w:rPr>
              <w:t>Add price data for 9 SKUs missing cost information</w:t>
            </w:r>
          </w:p>
          <w:p>
            <w:pPr>
              <w:pStyle w:val="Normal"/>
              <w:spacing w:before="0" w:after="90"/>
            </w:pPr>
            <w:r>
              <w:rPr>
                <w:color w:val="5F6570"/>
                <w:sz w:val="19"/>
                <w:szCs w:val="19"/>
              </w:rPr>
              <w:t>Cost reporting is incomplete without pricing for all SKUs. Adding price data gives a more accurate and credible view of total monthly spend.</w:t>
            </w:r>
          </w:p>
          <w:p>
            <w:pPr>
              <w:pStyle w:val="TableText"/>
              <w:spacing w:before="0" w:after="50"/>
            </w:pPr>
            <w:r>
              <w:rPr>
                <w:color w:val="5F6570"/>
                <w:sz w:val="17"/>
                <w:szCs w:val="17"/>
              </w:rPr>
              <w:t xml:space="preserve">Category: Licensing    Owner: License Manager    Effort: Low    Impact: Low</w:t>
            </w:r>
          </w:p>
          <w:p>
            <w:pPr>
              <w:pStyle w:val="StatusBadge"/>
              <w:spacing w:before="0" w:after="0"/>
              <w:shd w:val="clear" w:color="auto" w:fill="FEF3D7"/>
            </w:pPr>
            <w:r>
              <w:rPr>
                <w:b/>
                <w:bCs/>
                <w:color w:val="F39C12"/>
                <w:sz w:val="15"/>
                <w:szCs w:val="15"/>
              </w:rPr>
              <w:t>WATCH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w="104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SectionHeader"/>
              <w:spacing w:before="0" w:after="30"/>
            </w:pPr>
            <w:r>
              <w:rPr>
                <w:b/>
                <w:bCs/>
                <w:color w:val="FFFFFF"/>
                <w:sz w:val="25"/>
                <w:szCs w:val="25"/>
              </w:rPr>
              <w:t>Data Coverage</w:t>
            </w:r>
          </w:p>
          <w:p>
            <w:pPr>
              <w:pStyle w:val="SectionSubtitle"/>
              <w:spacing w:before="0" w:after="0"/>
            </w:pPr>
            <w:r>
              <w:rPr>
                <w:color w:val="E9DDF0"/>
                <w:sz w:val="17"/>
                <w:szCs w:val="17"/>
              </w:rPr>
              <w:t>Status of each data source used in this report</w:t>
            </w:r>
          </w:p>
        </w:tc>
      </w:tr>
    </w:tbl>
    <w:p>
      <w:pPr>
        <w:pStyle w:val="Normal"/>
        <w:spacing w:before="0" w:after="160"/>
      </w:pPr>
      <w:r>
        <w:rPr>
          <w:color w:val="5F6570"/>
          <w:sz w:val="20"/>
          <w:szCs w:val="20"/>
        </w:rPr>
        <w:t>Some data sources may be unavailable depending on licensing, permissions, or configuration. Where a source was unavailable, its status is marked below without exposing raw warnings in the client-facing report.</w:t>
      </w:r>
    </w:p>
    <w:tbl>
      <w:tblPr>
        <w:tblW w:w="1044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0" w:noVBand="1"/>
      </w:tblPr>
      <w:tblGrid>
        <w:gridCol w:w="6400"/>
        <w:gridCol w:w="4040"/>
      </w:tblGrid>
      <w:tr>
        <w:trPr>
          <w:tblHeader/>
        </w:trPr>
        <w:tc>
          <w:tcPr>
            <w:tcW w:w="64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404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c>
          <w:tcPr>
            <w:tcW w:w="6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TenantOverview</w:t>
            </w:r>
          </w:p>
        </w:tc>
        <w:tc>
          <w:tcPr>
            <w:tcW w:w="4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Collected</w:t>
            </w:r>
          </w:p>
        </w:tc>
      </w:tr>
      <w:tr>
        <w:tc>
          <w:tcPr>
            <w:tcW w:w="6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LicenseInventory</w:t>
            </w:r>
          </w:p>
        </w:tc>
        <w:tc>
          <w:tcPr>
            <w:tcW w:w="404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Collected</w:t>
            </w:r>
          </w:p>
        </w:tc>
      </w:tr>
      <w:tr>
        <w:tc>
          <w:tcPr>
            <w:tcW w:w="6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UserInventory</w:t>
            </w:r>
          </w:p>
        </w:tc>
        <w:tc>
          <w:tcPr>
            <w:tcW w:w="4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Collected</w:t>
            </w:r>
          </w:p>
        </w:tc>
      </w:tr>
      <w:tr>
        <w:tc>
          <w:tcPr>
            <w:tcW w:w="6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LicenseUserAnalysis</w:t>
            </w:r>
          </w:p>
        </w:tc>
        <w:tc>
          <w:tcPr>
            <w:tcW w:w="404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Collected</w:t>
            </w:r>
          </w:p>
        </w:tc>
      </w:tr>
      <w:tr>
        <w:tc>
          <w:tcPr>
            <w:tcW w:w="6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MailboxInventory</w:t>
            </w:r>
          </w:p>
        </w:tc>
        <w:tc>
          <w:tcPr>
            <w:tcW w:w="4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Collected</w:t>
            </w:r>
          </w:p>
        </w:tc>
      </w:tr>
      <w:tr>
        <w:tc>
          <w:tcPr>
            <w:tcW w:w="6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SharePoint</w:t>
            </w:r>
          </w:p>
        </w:tc>
        <w:tc>
          <w:tcPr>
            <w:tcW w:w="404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Collected</w:t>
            </w:r>
          </w:p>
        </w:tc>
      </w:tr>
      <w:tr>
        <w:tc>
          <w:tcPr>
            <w:tcW w:w="6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Teams</w:t>
            </w:r>
          </w:p>
        </w:tc>
        <w:tc>
          <w:tcPr>
            <w:tcW w:w="4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Collected</w:t>
            </w:r>
          </w:p>
        </w:tc>
      </w:tr>
      <w:tr>
        <w:tc>
          <w:tcPr>
            <w:tcW w:w="6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Devices</w:t>
            </w:r>
          </w:p>
        </w:tc>
        <w:tc>
          <w:tcPr>
            <w:tcW w:w="404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Collected</w:t>
            </w:r>
          </w:p>
        </w:tc>
      </w:tr>
      <w:tr>
        <w:tc>
          <w:tcPr>
            <w:tcW w:w="6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Copilot</w:t>
            </w:r>
          </w:p>
        </w:tc>
        <w:tc>
          <w:tcPr>
            <w:tcW w:w="4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8"/>
                <w:szCs w:val="18"/>
              </w:rPr>
              <w:t>Collected</w:t>
            </w:r>
          </w:p>
        </w:tc>
      </w:tr>
    </w:tbl>
    <w:p>
      <w:pPr>
        <w:sectPr>
          <w:pgSz w:w="12240" w:h="15840"/>
          <w:pgMar w:top="900" w:right="900" w:bottom="900" w:left="900" w:header="540" w:footer="540" w:gutter="0"/>
        </w:sect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0"/>
      </w:tblGrid>
      <w:tr>
        <w:tc>
          <w:tcPr>
            <w:tcW w:w="144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SectionHeader"/>
              <w:spacing w:before="0" w:after="30"/>
            </w:pPr>
            <w:r>
              <w:rPr>
                <w:b/>
                <w:bCs/>
                <w:color w:val="FFFFFF"/>
                <w:sz w:val="25"/>
                <w:szCs w:val="25"/>
              </w:rPr>
              <w:t>Appendix</w:t>
            </w:r>
          </w:p>
          <w:p>
            <w:pPr>
              <w:pStyle w:val="SectionSubtitle"/>
              <w:spacing w:before="0" w:after="0"/>
            </w:pPr>
            <w:r>
              <w:rPr>
                <w:color w:val="E9DDF0"/>
                <w:sz w:val="17"/>
                <w:szCs w:val="17"/>
              </w:rPr>
              <w:t>Curated supporting tables for technical reviewers</w:t>
            </w:r>
          </w:p>
        </w:tc>
      </w:tr>
    </w:tbl>
    <w:p>
      <w:pPr>
        <w:pStyle w:val="Heading2"/>
        <w:keepNext/>
        <w:spacing w:before="180" w:after="90"/>
      </w:pPr>
      <w:r>
        <w:rPr>
          <w:b/>
          <w:bCs/>
          <w:color w:val="5A2F61"/>
          <w:sz w:val="25"/>
          <w:szCs w:val="25"/>
        </w:rPr>
        <w:t>Domain Inventory</w:t>
      </w:r>
    </w:p>
    <w:tbl>
      <w:tblPr>
        <w:tblW w:w="1440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0" w:noVBand="1"/>
      </w:tblPr>
      <w:tblGrid>
        <w:gridCol w:w="4200"/>
        <w:gridCol w:w="1400"/>
        <w:gridCol w:w="1400"/>
        <w:gridCol w:w="2200"/>
        <w:gridCol w:w="5200"/>
      </w:tblGrid>
      <w:tr>
        <w:trPr>
          <w:tblHeader/>
        </w:trPr>
        <w:tc>
          <w:tcPr>
            <w:tcW w:w="42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Domain</w:t>
            </w:r>
          </w:p>
        </w:tc>
        <w:tc>
          <w:tcPr>
            <w:tcW w:w="14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14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Verified</w:t>
            </w:r>
          </w:p>
        </w:tc>
        <w:tc>
          <w:tcPr>
            <w:tcW w:w="22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Authentication</w:t>
            </w:r>
          </w:p>
        </w:tc>
        <w:tc>
          <w:tcPr>
            <w:tcW w:w="52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Supported Services</w:t>
            </w:r>
          </w:p>
        </w:tc>
      </w:tr>
      <w:tr>
        <w:tc>
          <w:tcPr>
            <w:tcW w:w="4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rthtechservices.onmicrosoft.com</w:t>
            </w:r>
          </w:p>
        </w:tc>
        <w:tc>
          <w:tcPr>
            <w:tcW w:w="1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</w:t>
            </w:r>
          </w:p>
        </w:tc>
        <w:tc>
          <w:tcPr>
            <w:tcW w:w="1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Managed</w:t>
            </w:r>
          </w:p>
        </w:tc>
        <w:tc>
          <w:tcPr>
            <w:tcW w:w="5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Email, OfficeCommunicationsOnline</w:t>
            </w:r>
          </w:p>
        </w:tc>
      </w:tr>
      <w:tr>
        <w:tc>
          <w:tcPr>
            <w:tcW w:w="4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rthtechservices.com</w:t>
            </w:r>
          </w:p>
        </w:tc>
        <w:tc>
          <w:tcPr>
            <w:tcW w:w="1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1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Managed</w:t>
            </w:r>
          </w:p>
        </w:tc>
        <w:tc>
          <w:tcPr>
            <w:tcW w:w="5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Email, OfficeCommunicationsOnline, Intune</w:t>
            </w:r>
          </w:p>
        </w:tc>
      </w:tr>
      <w:tr>
        <w:tc>
          <w:tcPr>
            <w:tcW w:w="4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rthtechservices.ca</w:t>
            </w:r>
          </w:p>
        </w:tc>
        <w:tc>
          <w:tcPr>
            <w:tcW w:w="1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</w:t>
            </w:r>
          </w:p>
        </w:tc>
        <w:tc>
          <w:tcPr>
            <w:tcW w:w="1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Managed</w:t>
            </w:r>
          </w:p>
        </w:tc>
        <w:tc>
          <w:tcPr>
            <w:tcW w:w="5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Email, OfficeCommunicationsOnline, Intune</w:t>
            </w:r>
          </w:p>
        </w:tc>
      </w:tr>
      <w:tr>
        <w:tc>
          <w:tcPr>
            <w:tcW w:w="4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rohanhare.ca</w:t>
            </w:r>
          </w:p>
        </w:tc>
        <w:tc>
          <w:tcPr>
            <w:tcW w:w="1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</w:t>
            </w:r>
          </w:p>
        </w:tc>
        <w:tc>
          <w:tcPr>
            <w:tcW w:w="1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Managed</w:t>
            </w:r>
          </w:p>
        </w:tc>
        <w:tc>
          <w:tcPr>
            <w:tcW w:w="5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Email</w:t>
            </w:r>
          </w:p>
        </w:tc>
      </w:tr>
      <w:tr>
        <w:tc>
          <w:tcPr>
            <w:tcW w:w="4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rohanhare.com</w:t>
            </w:r>
          </w:p>
        </w:tc>
        <w:tc>
          <w:tcPr>
            <w:tcW w:w="1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</w:t>
            </w:r>
          </w:p>
        </w:tc>
        <w:tc>
          <w:tcPr>
            <w:tcW w:w="1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Managed</w:t>
            </w:r>
          </w:p>
        </w:tc>
        <w:tc>
          <w:tcPr>
            <w:tcW w:w="5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Email</w:t>
            </w:r>
          </w:p>
        </w:tc>
      </w:tr>
    </w:tbl>
    <w:p>
      <w:pPr>
        <w:spacing w:after="180"/>
      </w:pPr>
    </w:p>
    <w:p>
      <w:pPr>
        <w:pStyle w:val="Heading2"/>
        <w:keepNext/>
        <w:spacing w:before="180" w:after="90"/>
      </w:pPr>
      <w:r>
        <w:rPr>
          <w:b/>
          <w:bCs/>
          <w:color w:val="5A2F61"/>
          <w:sz w:val="25"/>
          <w:szCs w:val="25"/>
        </w:rPr>
        <w:t>License SKU Inventory</w:t>
      </w:r>
    </w:p>
    <w:tbl>
      <w:tblPr>
        <w:tblW w:w="1440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0" w:noVBand="1"/>
      </w:tblPr>
      <w:tblGrid>
        <w:gridCol w:w="5000"/>
        <w:gridCol w:w="1800"/>
        <w:gridCol w:w="1700"/>
        <w:gridCol w:w="1700"/>
        <w:gridCol w:w="1700"/>
        <w:gridCol w:w="2500"/>
      </w:tblGrid>
      <w:tr>
        <w:trPr>
          <w:tblHeader/>
        </w:trPr>
        <w:tc>
          <w:tcPr>
            <w:tcW w:w="50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SKU</w:t>
            </w:r>
          </w:p>
        </w:tc>
        <w:tc>
          <w:tcPr>
            <w:tcW w:w="18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7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Purchased</w:t>
            </w:r>
          </w:p>
        </w:tc>
        <w:tc>
          <w:tcPr>
            <w:tcW w:w="17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Assigned</w:t>
            </w:r>
          </w:p>
        </w:tc>
        <w:tc>
          <w:tcPr>
            <w:tcW w:w="17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Unused</w:t>
            </w:r>
          </w:p>
        </w:tc>
        <w:tc>
          <w:tcPr>
            <w:tcW w:w="25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Monthly Cost</w:t>
            </w:r>
          </w:p>
        </w:tc>
      </w:tr>
      <w:tr>
        <w:tc>
          <w:tcPr>
            <w:tcW w:w="5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 365 Copilot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CAD $40.00</w:t>
            </w:r>
          </w:p>
        </w:tc>
      </w:tr>
      <w:tr>
        <w:tc>
          <w:tcPr>
            <w:tcW w:w="50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FLOW_FREE</w:t>
            </w:r>
          </w:p>
        </w:tc>
        <w:tc>
          <w:tcPr>
            <w:tcW w:w="18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10,000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9,998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CAD $0.00</w:t>
            </w:r>
          </w:p>
        </w:tc>
      </w:tr>
      <w:tr>
        <w:tc>
          <w:tcPr>
            <w:tcW w:w="5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CCIBOTS_PRIVPREV_VIRAL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10,000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9,999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CAD $0.00</w:t>
            </w:r>
          </w:p>
        </w:tc>
      </w:tr>
      <w:tr>
        <w:tc>
          <w:tcPr>
            <w:tcW w:w="50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POWERAPPS_VIRAL</w:t>
            </w:r>
          </w:p>
        </w:tc>
        <w:tc>
          <w:tcPr>
            <w:tcW w:w="18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10,000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9,999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CAD $0.00</w:t>
            </w:r>
          </w:p>
        </w:tc>
      </w:tr>
      <w:tr>
        <w:tc>
          <w:tcPr>
            <w:tcW w:w="5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O365_BUSINESS_PREMIUM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CAD $0.00</w:t>
            </w:r>
          </w:p>
        </w:tc>
      </w:tr>
      <w:tr>
        <w:tc>
          <w:tcPr>
            <w:tcW w:w="50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POWER_BI_STANDARD</w:t>
            </w:r>
          </w:p>
        </w:tc>
        <w:tc>
          <w:tcPr>
            <w:tcW w:w="18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1,000,001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1,000,000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CAD $0.00</w:t>
            </w:r>
          </w:p>
        </w:tc>
      </w:tr>
      <w:tr>
        <w:tc>
          <w:tcPr>
            <w:tcW w:w="5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Power_Pages_vTrial_for_Makers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10,000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9,999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CAD $0.00</w:t>
            </w:r>
          </w:p>
        </w:tc>
      </w:tr>
      <w:tr>
        <w:tc>
          <w:tcPr>
            <w:tcW w:w="50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POWERAUTOMATE_ATTENDED_RPA</w:t>
            </w:r>
          </w:p>
        </w:tc>
        <w:tc>
          <w:tcPr>
            <w:tcW w:w="18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CAD $0.00</w:t>
            </w:r>
          </w:p>
        </w:tc>
      </w:tr>
      <w:tr>
        <w:tc>
          <w:tcPr>
            <w:tcW w:w="5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Microsoft_Teams_Audio_Conferencing_select_dial_out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CAD $0.00</w:t>
            </w:r>
          </w:p>
        </w:tc>
      </w:tr>
      <w:tr>
        <w:tc>
          <w:tcPr>
            <w:tcW w:w="50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POWERAPPS_DEV</w:t>
            </w:r>
          </w:p>
        </w:tc>
        <w:tc>
          <w:tcPr>
            <w:tcW w:w="18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10,000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</w:t>
            </w:r>
          </w:p>
        </w:tc>
        <w:tc>
          <w:tcPr>
            <w:tcW w:w="1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9,998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CAD $0.00</w:t>
            </w:r>
          </w:p>
        </w:tc>
      </w:tr>
    </w:tbl>
    <w:p>
      <w:pPr>
        <w:spacing w:after="180"/>
      </w:pPr>
    </w:p>
    <w:p>
      <w:pPr>
        <w:pStyle w:val="Heading2"/>
        <w:keepNext/>
        <w:spacing w:before="180" w:after="90"/>
      </w:pPr>
      <w:r>
        <w:rPr>
          <w:b/>
          <w:bCs/>
          <w:color w:val="5A2F61"/>
          <w:sz w:val="25"/>
          <w:szCs w:val="25"/>
        </w:rPr>
        <w:t>Users Requiring Review</w:t>
      </w:r>
    </w:p>
    <w:tbl>
      <w:tblPr>
        <w:tblW w:w="14400" w:type="dxa"/>
        <w:tblLayout w:type="fixed"/>
      </w:tblPr>
      <w:tblGrid>
        <w:gridCol w:w="14400"/>
      </w:tblGrid>
      <w:tr>
        <w:tc>
          <w:tcPr>
            <w:tcW w:w="14400" w:type="dxa"/>
            <w:shd w:val="clear" w:color="auto" w:fill="F7F8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DE3EA"/>
              <w:left w:val="single" w:sz="18" w:space="0" w:color="767779"/>
              <w:bottom w:val="single" w:sz="6" w:space="0" w:color="DDE3EA"/>
              <w:right w:val="single" w:sz="6" w:space="0" w:color="DDE3EA"/>
            </w:tcBorders>
          </w:tcPr>
          <w:p>
            <w:pPr>
              <w:pStyle w:val="CalloutLabel"/>
              <w:spacing w:before="0" w:after="20"/>
            </w:pPr>
            <w:r>
              <w:rPr>
                <w:b/>
                <w:bCs/>
                <w:color w:val="767779"/>
                <w:sz w:val="18"/>
                <w:szCs w:val="18"/>
              </w:rPr>
              <w:t>Users Requiring Review</w:t>
            </w:r>
          </w:p>
          <w:p>
            <w:pPr>
              <w:pStyle w:val="CalloutText"/>
              <w:spacing w:before="0" w:after="20"/>
            </w:pPr>
            <w:r>
              <w:rPr>
                <w:color w:val="1F2933"/>
                <w:sz w:val="19"/>
                <w:szCs w:val="19"/>
              </w:rPr>
              <w:t>No users requiring review were identified.</w:t>
            </w:r>
          </w:p>
        </w:tc>
      </w:tr>
    </w:tbl>
    <w:p>
      <w:pPr>
        <w:spacing w:after="180"/>
      </w:pPr>
    </w:p>
    <w:p>
      <w:pPr>
        <w:pStyle w:val="Heading2"/>
        <w:keepNext/>
        <w:spacing w:before="180" w:after="90"/>
      </w:pPr>
      <w:r>
        <w:rPr>
          <w:b/>
          <w:bCs/>
          <w:color w:val="5A2F61"/>
          <w:sz w:val="25"/>
          <w:szCs w:val="25"/>
        </w:rPr>
        <w:t>Mailboxes with Forwarding</w:t>
      </w:r>
    </w:p>
    <w:tbl>
      <w:tblPr>
        <w:tblW w:w="1440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0" w:noVBand="1"/>
      </w:tblPr>
      <w:tblGrid>
        <w:gridCol w:w="3000"/>
        <w:gridCol w:w="4200"/>
        <w:gridCol w:w="2500"/>
        <w:gridCol w:w="1300"/>
        <w:gridCol w:w="3400"/>
      </w:tblGrid>
      <w:tr>
        <w:trPr>
          <w:tblHeader/>
        </w:trPr>
        <w:tc>
          <w:tcPr>
            <w:tcW w:w="30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Mailbox</w:t>
            </w:r>
          </w:p>
        </w:tc>
        <w:tc>
          <w:tcPr>
            <w:tcW w:w="42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Primary SMTP</w:t>
            </w:r>
          </w:p>
        </w:tc>
        <w:tc>
          <w:tcPr>
            <w:tcW w:w="25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3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External</w:t>
            </w:r>
          </w:p>
        </w:tc>
        <w:tc>
          <w:tcPr>
            <w:tcW w:w="34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Forward To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Make a Booking with RTH Tech Services Inc.</w:t>
            </w:r>
          </w:p>
        </w:tc>
        <w:tc>
          <w:tcPr>
            <w:tcW w:w="4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MakeaBookingwithRTHTechServicesInc@rthtechservices.com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SchedulingMailbox</w:t>
            </w: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smtp:rohan@rthtechservices.com</w:t>
            </w:r>
          </w:p>
        </w:tc>
      </w:tr>
      <w:tr>
        <w:tc>
          <w:tcPr>
            <w:tcW w:w="30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RTH Tech Services Inc.</w:t>
            </w:r>
          </w:p>
        </w:tc>
        <w:tc>
          <w:tcPr>
            <w:tcW w:w="4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RTHTechServicesInc1@rthtechservices.com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SchedulingMailbox</w:t>
            </w:r>
          </w:p>
        </w:tc>
        <w:tc>
          <w:tcPr>
            <w:tcW w:w="1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</w:t>
            </w:r>
          </w:p>
        </w:tc>
        <w:tc>
          <w:tcPr>
            <w:tcW w:w="3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smtp:rohan@rthtechservices.com</w:t>
            </w:r>
          </w:p>
        </w:tc>
      </w:tr>
    </w:tbl>
    <w:p>
      <w:pPr>
        <w:spacing w:after="180"/>
      </w:pPr>
    </w:p>
    <w:p>
      <w:pPr>
        <w:pStyle w:val="Heading2"/>
        <w:keepNext/>
        <w:spacing w:before="180" w:after="90"/>
      </w:pPr>
      <w:r>
        <w:rPr>
          <w:b/>
          <w:bCs/>
          <w:color w:val="5A2F61"/>
          <w:sz w:val="25"/>
          <w:szCs w:val="25"/>
        </w:rPr>
        <w:t>Transport Rules</w:t>
      </w:r>
    </w:p>
    <w:tbl>
      <w:tblPr>
        <w:tblW w:w="1440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0" w:noVBand="1"/>
      </w:tblPr>
      <w:tblGrid>
        <w:gridCol w:w="3300"/>
        <w:gridCol w:w="1500"/>
        <w:gridCol w:w="1500"/>
        <w:gridCol w:w="1300"/>
        <w:gridCol w:w="3400"/>
        <w:gridCol w:w="3400"/>
      </w:tblGrid>
      <w:tr>
        <w:trPr>
          <w:tblHeader/>
        </w:trPr>
        <w:tc>
          <w:tcPr>
            <w:tcW w:w="33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15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State</w:t>
            </w:r>
          </w:p>
        </w:tc>
        <w:tc>
          <w:tcPr>
            <w:tcW w:w="15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Mode</w:t>
            </w:r>
          </w:p>
        </w:tc>
        <w:tc>
          <w:tcPr>
            <w:tcW w:w="13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34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Conditions</w:t>
            </w:r>
          </w:p>
        </w:tc>
        <w:tc>
          <w:tcPr>
            <w:tcW w:w="34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Actions</w:t>
            </w:r>
          </w:p>
        </w:tc>
      </w:tr>
      <w:tr>
        <w:tc>
          <w:tcPr>
            <w:tcW w:w="3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Incoming HGLLP</w:t>
            </w:r>
          </w:p>
        </w:tc>
        <w:tc>
          <w:tcPr>
            <w:tcW w:w="1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Enforce</w:t>
            </w: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Microsoft.Exchange.MessagingPolicies.Rules.Tasks.SenderDomainIsPredicate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Microsoft.Exchange.MessagingPolicies.Rules.Tasks.BlindCopyToAction</w:t>
            </w:r>
          </w:p>
        </w:tc>
      </w:tr>
      <w:tr>
        <w:tc>
          <w:tcPr>
            <w:tcW w:w="3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Incoming RBS</w:t>
            </w:r>
          </w:p>
        </w:tc>
        <w:tc>
          <w:tcPr>
            <w:tcW w:w="1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Enforce</w:t>
            </w:r>
          </w:p>
        </w:tc>
        <w:tc>
          <w:tcPr>
            <w:tcW w:w="1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</w:t>
            </w:r>
          </w:p>
        </w:tc>
        <w:tc>
          <w:tcPr>
            <w:tcW w:w="3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Microsoft.Exchange.MessagingPolicies.Rules.Tasks.SenderDomainIsPredicate</w:t>
            </w:r>
          </w:p>
        </w:tc>
        <w:tc>
          <w:tcPr>
            <w:tcW w:w="3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Microsoft.Exchange.MessagingPolicies.Rules.Tasks.BlindCopyToAction</w:t>
            </w:r>
          </w:p>
        </w:tc>
      </w:tr>
      <w:tr>
        <w:tc>
          <w:tcPr>
            <w:tcW w:w="3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Incoming Escala</w:t>
            </w:r>
          </w:p>
        </w:tc>
        <w:tc>
          <w:tcPr>
            <w:tcW w:w="1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Enforce</w:t>
            </w: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Microsoft.Exchange.MessagingPolicies.Rules.Tasks.SenderDomainIsPredicate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Microsoft.Exchange.MessagingPolicies.Rules.Tasks.BlindCopyToAction</w:t>
            </w:r>
          </w:p>
        </w:tc>
      </w:tr>
      <w:tr>
        <w:tc>
          <w:tcPr>
            <w:tcW w:w="3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Outgoing HG LLP</w:t>
            </w:r>
          </w:p>
        </w:tc>
        <w:tc>
          <w:tcPr>
            <w:tcW w:w="1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Enforce</w:t>
            </w:r>
          </w:p>
        </w:tc>
        <w:tc>
          <w:tcPr>
            <w:tcW w:w="1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3</w:t>
            </w:r>
          </w:p>
        </w:tc>
        <w:tc>
          <w:tcPr>
            <w:tcW w:w="3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Microsoft.Exchange.MessagingPolicies.Rules.Tasks.RecipientDomainIsPredicate</w:t>
            </w:r>
          </w:p>
        </w:tc>
        <w:tc>
          <w:tcPr>
            <w:tcW w:w="3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Microsoft.Exchange.MessagingPolicies.Rules.Tasks.BlindCopyToAction</w:t>
            </w:r>
          </w:p>
        </w:tc>
      </w:tr>
      <w:tr>
        <w:tc>
          <w:tcPr>
            <w:tcW w:w="3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Outgoing RBS</w:t>
            </w:r>
          </w:p>
        </w:tc>
        <w:tc>
          <w:tcPr>
            <w:tcW w:w="1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Enforce</w:t>
            </w: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Microsoft.Exchange.MessagingPolicies.Rules.Tasks.RecipientDomainIsPredicate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Microsoft.Exchange.MessagingPolicies.Rules.Tasks.BlindCopyToAction</w:t>
            </w:r>
          </w:p>
        </w:tc>
      </w:tr>
      <w:tr>
        <w:tc>
          <w:tcPr>
            <w:tcW w:w="3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Outgoing Escala</w:t>
            </w:r>
          </w:p>
        </w:tc>
        <w:tc>
          <w:tcPr>
            <w:tcW w:w="1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Enabled</w:t>
            </w:r>
          </w:p>
        </w:tc>
        <w:tc>
          <w:tcPr>
            <w:tcW w:w="1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Enforce</w:t>
            </w:r>
          </w:p>
        </w:tc>
        <w:tc>
          <w:tcPr>
            <w:tcW w:w="1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5</w:t>
            </w:r>
          </w:p>
        </w:tc>
        <w:tc>
          <w:tcPr>
            <w:tcW w:w="3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Microsoft.Exchange.MessagingPolicies.Rules.Tasks.RecipientDomainIsPredicate</w:t>
            </w:r>
          </w:p>
        </w:tc>
        <w:tc>
          <w:tcPr>
            <w:tcW w:w="3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Microsoft.Exchange.MessagingPolicies.Rules.Tasks.BlindCopyToAction</w:t>
            </w:r>
          </w:p>
        </w:tc>
      </w:tr>
    </w:tbl>
    <w:p>
      <w:pPr>
        <w:spacing w:after="180"/>
      </w:pPr>
    </w:p>
    <w:p>
      <w:pPr>
        <w:pStyle w:val="Heading2"/>
        <w:keepNext/>
        <w:spacing w:before="180" w:after="90"/>
      </w:pPr>
      <w:r>
        <w:rPr>
          <w:b/>
          <w:bCs/>
          <w:color w:val="5A2F61"/>
          <w:sz w:val="25"/>
          <w:szCs w:val="25"/>
        </w:rPr>
        <w:t>Inbox Forwarding Rules</w:t>
      </w:r>
    </w:p>
    <w:tbl>
      <w:tblPr>
        <w:tblW w:w="1440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0" w:noVBand="1"/>
      </w:tblPr>
      <w:tblGrid>
        <w:gridCol w:w="3100"/>
        <w:gridCol w:w="2700"/>
        <w:gridCol w:w="1300"/>
        <w:gridCol w:w="2400"/>
        <w:gridCol w:w="2400"/>
        <w:gridCol w:w="2500"/>
      </w:tblGrid>
      <w:tr>
        <w:trPr>
          <w:tblHeader/>
        </w:trPr>
        <w:tc>
          <w:tcPr>
            <w:tcW w:w="31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Mailbox</w:t>
            </w:r>
          </w:p>
        </w:tc>
        <w:tc>
          <w:tcPr>
            <w:tcW w:w="27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Rule</w:t>
            </w:r>
          </w:p>
        </w:tc>
        <w:tc>
          <w:tcPr>
            <w:tcW w:w="13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Enabled</w:t>
            </w:r>
          </w:p>
        </w:tc>
        <w:tc>
          <w:tcPr>
            <w:tcW w:w="24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Forward To</w:t>
            </w:r>
          </w:p>
        </w:tc>
        <w:tc>
          <w:tcPr>
            <w:tcW w:w="24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Redirect To</w:t>
            </w:r>
          </w:p>
        </w:tc>
        <w:tc>
          <w:tcPr>
            <w:tcW w:w="25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Attachment To</w:t>
            </w:r>
          </w:p>
        </w:tc>
      </w:tr>
      <w:tr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a</w:t>
            </w: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"RTH Tech Services - Info" [EX:/o=ExchangeLabs/ou=Exchange Administrative Group (FYDIBOHF23SPDLT)/cn=Recipients/cn=535485041e144d45b4aff8e0c5f9c6bb-RTH Tech Se]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CAT - Farris</w:t>
            </w:r>
          </w:p>
        </w:tc>
        <w:tc>
          <w:tcPr>
            <w:tcW w:w="1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MOVE - COPILOT GITHUB EMAILS</w:t>
            </w: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For all messages from Office 365 Activity Alert</w:t>
            </w:r>
          </w:p>
        </w:tc>
        <w:tc>
          <w:tcPr>
            <w:tcW w:w="1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CAT - PWX</w:t>
            </w: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HGLLP - Invoice Time Tracking</w:t>
            </w:r>
          </w:p>
        </w:tc>
        <w:tc>
          <w:tcPr>
            <w:tcW w:w="1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RBS - Invoice Time Tracking</w:t>
            </w: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CAT - Escala Invoice Time Tracking</w:t>
            </w:r>
          </w:p>
        </w:tc>
        <w:tc>
          <w:tcPr>
            <w:tcW w:w="1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CAT - HGLLP</w:t>
            </w: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CAT - RBS</w:t>
            </w:r>
          </w:p>
        </w:tc>
        <w:tc>
          <w:tcPr>
            <w:tcW w:w="1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CAT - HAREMECHANICAL</w:t>
            </w: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CAT - MICROSOFT INVOICES</w:t>
            </w:r>
          </w:p>
        </w:tc>
        <w:tc>
          <w:tcPr>
            <w:tcW w:w="1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RBS SENT</w:t>
            </w: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HGLLP SENT</w:t>
            </w:r>
          </w:p>
        </w:tc>
        <w:tc>
          <w:tcPr>
            <w:tcW w:w="1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POWEREX SENT</w:t>
            </w: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CAT - ESCALA</w:t>
            </w:r>
          </w:p>
        </w:tc>
        <w:tc>
          <w:tcPr>
            <w:tcW w:w="1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  <w:tr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 365 Message center</w:t>
            </w: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None</w:t>
            </w:r>
          </w:p>
        </w:tc>
      </w:tr>
    </w:tbl>
    <w:p>
      <w:pPr>
        <w:spacing w:after="180"/>
      </w:pPr>
    </w:p>
    <w:p>
      <w:pPr>
        <w:pStyle w:val="Heading2"/>
        <w:keepNext/>
        <w:spacing w:before="180" w:after="90"/>
      </w:pPr>
      <w:r>
        <w:rPr>
          <w:b/>
          <w:bCs/>
          <w:color w:val="5A2F61"/>
          <w:sz w:val="25"/>
          <w:szCs w:val="25"/>
        </w:rPr>
        <w:t>Largest SharePoint Sites</w:t>
      </w:r>
    </w:p>
    <w:tbl>
      <w:tblPr>
        <w:tblW w:w="1440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0" w:noVBand="1"/>
      </w:tblPr>
      <w:tblGrid>
        <w:gridCol w:w="5200"/>
        <w:gridCol w:w="1800"/>
        <w:gridCol w:w="2400"/>
        <w:gridCol w:w="2700"/>
        <w:gridCol w:w="2300"/>
      </w:tblGrid>
      <w:tr>
        <w:trPr>
          <w:tblHeader/>
        </w:trPr>
        <w:tc>
          <w:tcPr>
            <w:tcW w:w="52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Site</w:t>
            </w:r>
          </w:p>
        </w:tc>
        <w:tc>
          <w:tcPr>
            <w:tcW w:w="18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Storage GB</w:t>
            </w:r>
          </w:p>
        </w:tc>
        <w:tc>
          <w:tcPr>
            <w:tcW w:w="24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Last Modified</w:t>
            </w:r>
          </w:p>
        </w:tc>
        <w:tc>
          <w:tcPr>
            <w:tcW w:w="27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Sharing</w:t>
            </w:r>
          </w:p>
        </w:tc>
        <w:tc>
          <w:tcPr>
            <w:tcW w:w="23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Files</w:t>
            </w:r>
          </w:p>
        </w:tc>
      </w:tr>
      <w:tr>
        <w:tc>
          <w:tcPr>
            <w:tcW w:w="5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General RTH Tech Owners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17.46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2026-05-14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103</w:t>
            </w:r>
          </w:p>
        </w:tc>
      </w:tr>
      <w:tr>
        <w:tc>
          <w:tcPr>
            <w:tcW w:w="5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98e686d9-5ca0-4802-aab4-eae6c6083b83</w:t>
            </w:r>
          </w:p>
        </w:tc>
        <w:tc>
          <w:tcPr>
            <w:tcW w:w="18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3.49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2026-05-14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168</w:t>
            </w:r>
          </w:p>
        </w:tc>
      </w:tr>
      <w:tr>
        <w:tc>
          <w:tcPr>
            <w:tcW w:w="5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HGLLP Owners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0.27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2026-05-05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56</w:t>
            </w:r>
          </w:p>
        </w:tc>
      </w:tr>
      <w:tr>
        <w:tc>
          <w:tcPr>
            <w:tcW w:w="5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RBS LLP Owners</w:t>
            </w:r>
          </w:p>
        </w:tc>
        <w:tc>
          <w:tcPr>
            <w:tcW w:w="18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0.26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2025-10-25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37</w:t>
            </w:r>
          </w:p>
        </w:tc>
      </w:tr>
      <w:tr>
        <w:tc>
          <w:tcPr>
            <w:tcW w:w="5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 Hare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0.22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2026-05-11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155</w:t>
            </w:r>
          </w:p>
        </w:tc>
      </w:tr>
      <w:tr>
        <w:tc>
          <w:tcPr>
            <w:tcW w:w="5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SharePoint Administrator</w:t>
            </w:r>
          </w:p>
        </w:tc>
        <w:tc>
          <w:tcPr>
            <w:tcW w:w="18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0.18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2026-05-05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1,478</w:t>
            </w:r>
          </w:p>
        </w:tc>
      </w:tr>
      <w:tr>
        <w:tc>
          <w:tcPr>
            <w:tcW w:w="5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Global Administrator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0.13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2026-05-05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462</w:t>
            </w:r>
          </w:p>
        </w:tc>
      </w:tr>
      <w:tr>
        <w:tc>
          <w:tcPr>
            <w:tcW w:w="5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 Hare</w:t>
            </w:r>
          </w:p>
        </w:tc>
        <w:tc>
          <w:tcPr>
            <w:tcW w:w="18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0.05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2026-05-14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55</w:t>
            </w:r>
          </w:p>
        </w:tc>
      </w:tr>
      <w:tr>
        <w:tc>
          <w:tcPr>
            <w:tcW w:w="5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 Hare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0.05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2026-05-05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198</w:t>
            </w:r>
          </w:p>
        </w:tc>
      </w:tr>
      <w:tr>
        <w:tc>
          <w:tcPr>
            <w:tcW w:w="5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NT Service\sptimerv4</w:t>
            </w:r>
          </w:p>
        </w:tc>
        <w:tc>
          <w:tcPr>
            <w:tcW w:w="18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0.01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14</w:t>
            </w:r>
          </w:p>
        </w:tc>
      </w:tr>
      <w:tr>
        <w:tc>
          <w:tcPr>
            <w:tcW w:w="5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System Account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0.00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</w:t>
            </w:r>
          </w:p>
        </w:tc>
      </w:tr>
      <w:tr>
        <w:tc>
          <w:tcPr>
            <w:tcW w:w="5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System Account</w:t>
            </w:r>
          </w:p>
        </w:tc>
        <w:tc>
          <w:tcPr>
            <w:tcW w:w="18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0.00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</w:t>
            </w:r>
          </w:p>
        </w:tc>
      </w:tr>
      <w:tr>
        <w:tc>
          <w:tcPr>
            <w:tcW w:w="5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System Account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0.00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</w:t>
            </w:r>
          </w:p>
        </w:tc>
      </w:tr>
      <w:tr>
        <w:tc>
          <w:tcPr>
            <w:tcW w:w="5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System Account</w:t>
            </w:r>
          </w:p>
        </w:tc>
        <w:tc>
          <w:tcPr>
            <w:tcW w:w="18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0.00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7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</w:t>
            </w:r>
          </w:p>
        </w:tc>
      </w:tr>
      <w:tr>
        <w:tc>
          <w:tcPr>
            <w:tcW w:w="5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System Account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0.00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0</w:t>
            </w:r>
          </w:p>
        </w:tc>
      </w:tr>
    </w:tbl>
    <w:p>
      <w:pPr>
        <w:spacing w:after="180"/>
      </w:pPr>
    </w:p>
    <w:p>
      <w:pPr>
        <w:pStyle w:val="Heading2"/>
        <w:keepNext/>
        <w:spacing w:before="180" w:after="90"/>
      </w:pPr>
      <w:r>
        <w:rPr>
          <w:b/>
          <w:bCs/>
          <w:color w:val="5A2F61"/>
          <w:sz w:val="25"/>
          <w:szCs w:val="25"/>
        </w:rPr>
        <w:t>Teams Inventory</w:t>
      </w:r>
    </w:p>
    <w:tbl>
      <w:tblPr>
        <w:tblW w:w="1440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0" w:noVBand="1"/>
      </w:tblPr>
      <w:tblGrid>
        <w:gridCol w:w="5200"/>
        <w:gridCol w:w="2100"/>
        <w:gridCol w:w="2400"/>
        <w:gridCol w:w="2500"/>
        <w:gridCol w:w="2200"/>
      </w:tblGrid>
      <w:tr>
        <w:trPr>
          <w:tblHeader/>
        </w:trPr>
        <w:tc>
          <w:tcPr>
            <w:tcW w:w="52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Team</w:t>
            </w:r>
          </w:p>
        </w:tc>
        <w:tc>
          <w:tcPr>
            <w:tcW w:w="21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Visibility</w:t>
            </w:r>
          </w:p>
        </w:tc>
        <w:tc>
          <w:tcPr>
            <w:tcW w:w="24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Created</w:t>
            </w:r>
          </w:p>
        </w:tc>
        <w:tc>
          <w:tcPr>
            <w:tcW w:w="25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Last Activity</w:t>
            </w:r>
          </w:p>
        </w:tc>
        <w:tc>
          <w:tcPr>
            <w:tcW w:w="22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Inactive</w:t>
            </w:r>
          </w:p>
        </w:tc>
      </w:tr>
      <w:tr>
        <w:tc>
          <w:tcPr>
            <w:tcW w:w="5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General RTH Tech</w:t>
            </w:r>
          </w:p>
        </w:tc>
        <w:tc>
          <w:tcPr>
            <w:tcW w:w="2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Private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2021-02-17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2025-11-11</w:t>
            </w:r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</w:tr>
      <w:tr>
        <w:tc>
          <w:tcPr>
            <w:tcW w:w="5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HGLLP</w:t>
            </w:r>
          </w:p>
        </w:tc>
        <w:tc>
          <w:tcPr>
            <w:tcW w:w="21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Private</w:t>
            </w:r>
          </w:p>
        </w:tc>
        <w:tc>
          <w:tcPr>
            <w:tcW w:w="24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2021-03-11</w:t>
            </w:r>
          </w:p>
        </w:tc>
        <w:tc>
          <w:tcPr>
            <w:tcW w:w="2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2025-03-31</w:t>
            </w:r>
          </w:p>
        </w:tc>
        <w:tc>
          <w:tcPr>
            <w:tcW w:w="22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</w:tr>
      <w:tr>
        <w:tc>
          <w:tcPr>
            <w:tcW w:w="5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RBS LLP</w:t>
            </w:r>
          </w:p>
        </w:tc>
        <w:tc>
          <w:tcPr>
            <w:tcW w:w="2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Private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2023-03-27</w:t>
            </w:r>
          </w:p>
        </w:tc>
        <w:tc>
          <w:tcPr>
            <w:tcW w:w="2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</w:tr>
    </w:tbl>
    <w:p>
      <w:pPr>
        <w:spacing w:after="180"/>
      </w:pPr>
    </w:p>
    <w:p>
      <w:pPr>
        <w:pStyle w:val="Heading2"/>
        <w:keepNext/>
        <w:spacing w:before="180" w:after="90"/>
      </w:pPr>
      <w:r>
        <w:rPr>
          <w:b/>
          <w:bCs/>
          <w:color w:val="5A2F61"/>
          <w:sz w:val="25"/>
          <w:szCs w:val="25"/>
        </w:rPr>
        <w:t>Stale Devices</w:t>
      </w:r>
    </w:p>
    <w:tbl>
      <w:tblPr>
        <w:tblW w:w="1440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0" w:noVBand="1"/>
      </w:tblPr>
      <w:tblGrid>
        <w:gridCol w:w="3500"/>
        <w:gridCol w:w="2100"/>
        <w:gridCol w:w="2300"/>
        <w:gridCol w:w="1600"/>
        <w:gridCol w:w="1600"/>
        <w:gridCol w:w="3300"/>
      </w:tblGrid>
      <w:tr>
        <w:trPr>
          <w:tblHeader/>
        </w:trPr>
        <w:tc>
          <w:tcPr>
            <w:tcW w:w="35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Device</w:t>
            </w:r>
          </w:p>
        </w:tc>
        <w:tc>
          <w:tcPr>
            <w:tcW w:w="21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OS</w:t>
            </w:r>
          </w:p>
        </w:tc>
        <w:tc>
          <w:tcPr>
            <w:tcW w:w="23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Days Since Sign-In</w:t>
            </w:r>
          </w:p>
        </w:tc>
        <w:tc>
          <w:tcPr>
            <w:tcW w:w="16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Enabled</w:t>
            </w:r>
          </w:p>
        </w:tc>
        <w:tc>
          <w:tcPr>
            <w:tcW w:w="16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Managed</w:t>
            </w:r>
          </w:p>
        </w:tc>
        <w:tc>
          <w:tcPr>
            <w:tcW w:w="33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Compliance</w:t>
            </w:r>
          </w:p>
        </w:tc>
      </w:tr>
      <w:tr>
        <w:tc>
          <w:tcPr>
            <w:tcW w:w="3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samsungSM-S928W</w:t>
            </w:r>
          </w:p>
        </w:tc>
        <w:tc>
          <w:tcPr>
            <w:tcW w:w="2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Android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690</w:t>
            </w:r>
          </w:p>
        </w:tc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</w:t>
            </w:r>
          </w:p>
        </w:tc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</w:t>
            </w:r>
          </w:p>
        </w:tc>
        <w:tc>
          <w:tcPr>
            <w:tcW w:w="3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</w:tr>
      <w:tr>
        <w:tc>
          <w:tcPr>
            <w:tcW w:w="3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samsungSM-S908W</w:t>
            </w:r>
          </w:p>
        </w:tc>
        <w:tc>
          <w:tcPr>
            <w:tcW w:w="21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Android</w:t>
            </w:r>
          </w:p>
        </w:tc>
        <w:tc>
          <w:tcPr>
            <w:tcW w:w="2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213</w:t>
            </w:r>
          </w:p>
        </w:tc>
        <w:tc>
          <w:tcPr>
            <w:tcW w:w="16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16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</w:t>
            </w:r>
          </w:p>
        </w:tc>
        <w:tc>
          <w:tcPr>
            <w:tcW w:w="3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</w:tr>
      <w:tr>
        <w:tc>
          <w:tcPr>
            <w:tcW w:w="3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RTH-DELLXPS</w:t>
            </w:r>
          </w:p>
        </w:tc>
        <w:tc>
          <w:tcPr>
            <w:tcW w:w="2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Windows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96</w:t>
            </w:r>
          </w:p>
        </w:tc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</w:t>
            </w:r>
          </w:p>
        </w:tc>
        <w:tc>
          <w:tcPr>
            <w:tcW w:w="3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</w:tr>
      <w:tr>
        <w:tc>
          <w:tcPr>
            <w:tcW w:w="35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RTH-DELL-01</w:t>
            </w:r>
          </w:p>
        </w:tc>
        <w:tc>
          <w:tcPr>
            <w:tcW w:w="21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Windows</w:t>
            </w:r>
          </w:p>
        </w:tc>
        <w:tc>
          <w:tcPr>
            <w:tcW w:w="2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371</w:t>
            </w:r>
          </w:p>
        </w:tc>
        <w:tc>
          <w:tcPr>
            <w:tcW w:w="16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</w:t>
            </w:r>
          </w:p>
        </w:tc>
        <w:tc>
          <w:tcPr>
            <w:tcW w:w="16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</w:t>
            </w:r>
          </w:p>
        </w:tc>
        <w:tc>
          <w:tcPr>
            <w:tcW w:w="3300" w:type="dxa"/>
            <w:shd w:val="clear" w:color="auto" w:fill="F9FAF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</w:tr>
      <w:tr>
        <w:tc>
          <w:tcPr>
            <w:tcW w:w="3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RTH-PREDATOR</w:t>
            </w:r>
          </w:p>
        </w:tc>
        <w:tc>
          <w:tcPr>
            <w:tcW w:w="2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Windows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110</w:t>
            </w:r>
          </w:p>
        </w:tc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Yes</w:t>
            </w:r>
          </w:p>
        </w:tc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</w:t>
            </w:r>
          </w:p>
        </w:tc>
        <w:tc>
          <w:tcPr>
            <w:tcW w:w="3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</w:tr>
    </w:tbl>
    <w:p>
      <w:pPr>
        <w:spacing w:after="180"/>
      </w:pPr>
    </w:p>
    <w:p>
      <w:pPr>
        <w:pStyle w:val="Heading2"/>
        <w:keepNext/>
        <w:spacing w:before="180" w:after="90"/>
      </w:pPr>
      <w:r>
        <w:rPr>
          <w:b/>
          <w:bCs/>
          <w:color w:val="5A2F61"/>
          <w:sz w:val="25"/>
          <w:szCs w:val="25"/>
        </w:rPr>
        <w:t>Copilot Licensed Users</w:t>
      </w:r>
    </w:p>
    <w:tbl>
      <w:tblPr>
        <w:tblW w:w="1440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0" w:noVBand="1"/>
      </w:tblPr>
      <w:tblGrid>
        <w:gridCol w:w="3100"/>
        <w:gridCol w:w="4400"/>
        <w:gridCol w:w="3300"/>
        <w:gridCol w:w="1300"/>
        <w:gridCol w:w="2300"/>
      </w:tblGrid>
      <w:tr>
        <w:trPr>
          <w:tblHeader/>
        </w:trPr>
        <w:tc>
          <w:tcPr>
            <w:tcW w:w="31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Display Name</w:t>
            </w:r>
          </w:p>
        </w:tc>
        <w:tc>
          <w:tcPr>
            <w:tcW w:w="44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UPN</w:t>
            </w:r>
          </w:p>
        </w:tc>
        <w:tc>
          <w:tcPr>
            <w:tcW w:w="33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Assigned Copilot SKUs</w:t>
            </w:r>
          </w:p>
        </w:tc>
        <w:tc>
          <w:tcPr>
            <w:tcW w:w="13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Stale</w:t>
            </w:r>
          </w:p>
        </w:tc>
        <w:tc>
          <w:tcPr>
            <w:tcW w:w="2300" w:type="dxa"/>
            <w:shd w:val="clear" w:color="auto" w:fill="5A2F6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5A2F61"/>
              <w:left w:val="single" w:sz="6" w:space="0" w:color="5A2F61"/>
              <w:bottom w:val="single" w:sz="6" w:space="0" w:color="5A2F61"/>
              <w:right w:val="single" w:sz="6" w:space="0" w:color="5A2F61"/>
            </w:tcBorders>
          </w:tcPr>
          <w:p>
            <w:pPr>
              <w:pStyle w:val="TableText"/>
              <w:spacing w:before="0"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Last Sign-In</w:t>
            </w:r>
          </w:p>
        </w:tc>
      </w:tr>
      <w:tr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 Hare</w:t>
            </w:r>
          </w:p>
        </w:tc>
        <w:tc>
          <w:tcPr>
            <w:tcW w:w="4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rohan@rthtechservices.com</w:t>
            </w:r>
          </w:p>
        </w:tc>
        <w:tc>
          <w:tcPr>
            <w:tcW w:w="3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Microsoft_365_Copilot</w:t>
            </w: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No</w:t>
            </w:r>
          </w:p>
        </w:tc>
        <w:tc>
          <w:tcPr>
            <w:tcW w:w="2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tcBorders>
              <w:top w:val="single" w:sz="6" w:space="0" w:color="D7D9E0"/>
              <w:left w:val="single" w:sz="6" w:space="0" w:color="D7D9E0"/>
              <w:bottom w:val="single" w:sz="6" w:space="0" w:color="D7D9E0"/>
              <w:right w:val="single" w:sz="6" w:space="0" w:color="D7D9E0"/>
            </w:tcBorders>
          </w:tcPr>
          <w:p>
            <w:pPr>
              <w:pStyle w:val="TableText"/>
              <w:spacing w:before="0" w:after="40"/>
            </w:pPr>
            <w:r>
              <w:rPr>
                <w:color w:val="1F2933"/>
                <w:sz w:val="16"/>
                <w:szCs w:val="16"/>
              </w:rPr>
              <w:t>N/A</w:t>
            </w:r>
          </w:p>
        </w:tc>
      </w:tr>
    </w:tbl>
    <w:p>
      <w:pPr>
        <w:spacing w:after="180"/>
      </w:pPr>
    </w:p>
    <w:sectPr>
      <w:pgSz w:w="15840" w:h="12240" w:orient="landscape"/>
      <w:pgMar w:top="720" w:right="720" w:bottom="720" w:left="72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1"/>
        <w:szCs w:val="21"/>
        <w:color w:val="1F2933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CoverTitle">
    <w:name w:val="CoverTitle"/>
    <w:basedOn w:val="Normal"/>
    <w:qFormat/>
    <w:rPr>
      <w:b/>
      <w:bCs/>
      <w:sz w:val="54"/>
      <w:szCs w:val="54"/>
      <w:color w:val="FFFFFF"/>
    </w:rPr>
  </w:style>
  <w:style w:type="paragraph" w:styleId="CoverSubtitle">
    <w:name w:val="CoverSubtitle"/>
    <w:basedOn w:val="Normal"/>
    <w:qFormat/>
    <w:rPr>
      <w:sz w:val="32"/>
      <w:szCs w:val="32"/>
      <w:color w:val="EAF6FF"/>
    </w:rPr>
  </w:style>
  <w:style w:type="paragraph" w:styleId="CoverEyebrow">
    <w:name w:val="CoverEyebrow"/>
    <w:basedOn w:val="Normal"/>
    <w:rPr>
      <w:b/>
      <w:bCs/>
      <w:spacing w:val="40"/>
      <w:sz w:val="18"/>
      <w:szCs w:val="18"/>
      <w:color w:val="FFFFFF"/>
    </w:rPr>
  </w:style>
  <w:style w:type="paragraph" w:styleId="CoverMeta">
    <w:name w:val="CoverMeta"/>
    <w:basedOn w:val="Normal"/>
    <w:rPr>
      <w:sz w:val="22"/>
      <w:szCs w:val="22"/>
      <w:color w:val="FFFFFF"/>
    </w:rPr>
  </w:style>
  <w:style w:type="paragraph" w:styleId="SectionHeader">
    <w:name w:val="SectionHeader"/>
    <w:basedOn w:val="Normal"/>
    <w:qFormat/>
    <w:rPr>
      <w:b/>
      <w:bCs/>
      <w:sz w:val="25"/>
      <w:szCs w:val="25"/>
      <w:color w:val="FFFFFF"/>
    </w:rPr>
  </w:style>
  <w:style w:type="paragraph" w:styleId="SectionSubtitle">
    <w:name w:val="SectionSubtitle"/>
    <w:basedOn w:val="Normal"/>
    <w:rPr>
      <w:sz w:val="17"/>
      <w:szCs w:val="17"/>
      <w:color w:val="E9DDF0"/>
    </w:rPr>
  </w:style>
  <w:style w:type="paragraph" w:styleId="Heading1">
    <w:name w:val="Heading 1"/>
    <w:basedOn w:val="Normal"/>
    <w:qFormat/>
    <w:pPr>
      <w:spacing w:before="280" w:after="140"/>
      <w:keepNext/>
    </w:pPr>
    <w:rPr>
      <w:b/>
      <w:bCs/>
      <w:color w:val="5A2F61"/>
      <w:sz w:val="30"/>
      <w:szCs w:val="30"/>
    </w:rPr>
  </w:style>
  <w:style w:type="paragraph" w:styleId="Heading2">
    <w:name w:val="Heading 2"/>
    <w:basedOn w:val="Normal"/>
    <w:qFormat/>
    <w:pPr>
      <w:spacing w:before="180" w:after="100"/>
      <w:keepNext/>
    </w:pPr>
    <w:rPr>
      <w:b/>
      <w:bCs/>
      <w:color w:val="5A2F61"/>
      <w:sz w:val="25"/>
      <w:szCs w:val="25"/>
    </w:rPr>
  </w:style>
  <w:style w:type="paragraph" w:styleId="KPIValue">
    <w:name w:val="KPIValue"/>
    <w:basedOn w:val="Normal"/>
    <w:rPr>
      <w:b/>
      <w:bCs/>
      <w:color w:val="5A2F61"/>
      <w:sz w:val="34"/>
      <w:szCs w:val="34"/>
    </w:rPr>
  </w:style>
  <w:style w:type="paragraph" w:styleId="KPILabel">
    <w:name w:val="KPILabel"/>
    <w:basedOn w:val="Normal"/>
    <w:rPr>
      <w:b/>
      <w:bCs/>
      <w:color w:val="767779"/>
      <w:sz w:val="16"/>
      <w:szCs w:val="16"/>
    </w:rPr>
  </w:style>
  <w:style w:type="paragraph" w:styleId="KPIDescription">
    <w:name w:val="KPIDescription"/>
    <w:basedOn w:val="Normal"/>
    <w:rPr>
      <w:color w:val="5F6570"/>
      <w:sz w:val="17"/>
      <w:szCs w:val="17"/>
    </w:rPr>
  </w:style>
  <w:style w:type="paragraph" w:styleId="NarrativeHeadline">
    <w:name w:val="NarrativeHeadline"/>
    <w:basedOn w:val="Normal"/>
    <w:rPr>
      <w:b/>
      <w:bCs/>
      <w:color w:val="1F2933"/>
      <w:sz w:val="24"/>
      <w:szCs w:val="24"/>
    </w:rPr>
  </w:style>
  <w:style w:type="paragraph" w:styleId="CalloutLabel">
    <w:name w:val="CalloutLabel"/>
    <w:basedOn w:val="Normal"/>
    <w:rPr>
      <w:b/>
      <w:bCs/>
      <w:sz w:val="18"/>
      <w:szCs w:val="18"/>
    </w:rPr>
  </w:style>
  <w:style w:type="paragraph" w:styleId="CalloutText">
    <w:name w:val="CalloutText"/>
    <w:basedOn w:val="Normal"/>
    <w:rPr>
      <w:sz w:val="19"/>
      <w:szCs w:val="19"/>
    </w:rPr>
  </w:style>
  <w:style w:type="paragraph" w:styleId="StatusBadge">
    <w:name w:val="StatusBadge"/>
    <w:basedOn w:val="Normal"/>
    <w:rPr>
      <w:b/>
      <w:bCs/>
      <w:sz w:val="15"/>
      <w:szCs w:val="15"/>
    </w:rPr>
  </w:style>
  <w:style w:type="paragraph" w:styleId="RecommendationPriority">
    <w:name w:val="RecommendationPriority"/>
    <w:basedOn w:val="Normal"/>
    <w:rPr>
      <w:b/>
      <w:bCs/>
      <w:color w:val="FFFFFF"/>
      <w:sz w:val="25"/>
      <w:szCs w:val="25"/>
    </w:rPr>
  </w:style>
  <w:style w:type="paragraph" w:styleId="TableText">
    <w:name w:val="TableText"/>
    <w:basedOn w:val="Normal"/>
    <w:pPr>
      <w:spacing w:after="40" w:line="240" w:lineRule="auto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