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Supermoon Viewing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Recently, the moon has passed closer to the Earth than it has in decades</w:t>
      </w:r>
      <w:hyperlink r:id="rId5">
        <w:r w:rsidDel="00000000" w:rsidR="00000000" w:rsidRPr="00000000">
          <w:rPr>
            <w:color w:val="1155cc"/>
            <w:sz w:val="24"/>
            <w:szCs w:val="24"/>
            <w:u w:val="single"/>
            <w:vertAlign w:val="superscript"/>
            <w:rtl w:val="0"/>
          </w:rPr>
          <w:t xml:space="preserve">[1]</w:t>
        </w:r>
      </w:hyperlink>
      <w:r w:rsidDel="00000000" w:rsidR="00000000" w:rsidRPr="00000000">
        <w:rPr>
          <w:sz w:val="24"/>
          <w:szCs w:val="24"/>
          <w:rtl w:val="0"/>
        </w:rPr>
        <w:t xml:space="preserve">. Hazel, set on seizing the opportunity, stayed up all night to watch the moon through her circular window. Unfortunately, the moon and Hazel’s window did not perfectly align, and Hazel could only see part of the moon. Can you figure out how much of the moon she saw?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Each test case begins with three integers </w:t>
      </w:r>
      <w:r w:rsidDel="00000000" w:rsidR="00000000" w:rsidRPr="00000000">
        <w:rPr>
          <w:b w:val="1"/>
          <w:sz w:val="24"/>
          <w:szCs w:val="24"/>
          <w:rtl w:val="0"/>
        </w:rPr>
        <w:t xml:space="preserve">X</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Y</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vertAlign w:val="subscript"/>
          <w:rtl w:val="0"/>
        </w:rPr>
        <w:t xml:space="preserve">w</w:t>
      </w:r>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X</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Y</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vertAlign w:val="subscript"/>
          <w:rtl w:val="0"/>
        </w:rPr>
        <w:t xml:space="preserve">w </w:t>
      </w:r>
      <w:r w:rsidDel="00000000" w:rsidR="00000000" w:rsidRPr="00000000">
        <w:rPr>
          <w:rFonts w:ascii="Arial Unicode MS" w:cs="Arial Unicode MS" w:eastAsia="Arial Unicode MS" w:hAnsi="Arial Unicode MS"/>
          <w:color w:val="00000a"/>
          <w:sz w:val="24"/>
          <w:szCs w:val="24"/>
          <w:rtl w:val="0"/>
        </w:rPr>
        <w:t xml:space="preserve">≤ 1000), representing a circle centered at (</w:t>
      </w:r>
      <w:r w:rsidDel="00000000" w:rsidR="00000000" w:rsidRPr="00000000">
        <w:rPr>
          <w:b w:val="1"/>
          <w:color w:val="00000a"/>
          <w:sz w:val="24"/>
          <w:szCs w:val="24"/>
          <w:rtl w:val="0"/>
        </w:rPr>
        <w:t xml:space="preserve">X</w:t>
      </w:r>
      <w:r w:rsidDel="00000000" w:rsidR="00000000" w:rsidRPr="00000000">
        <w:rPr>
          <w:color w:val="00000a"/>
          <w:sz w:val="24"/>
          <w:szCs w:val="24"/>
          <w:vertAlign w:val="subscript"/>
          <w:rtl w:val="0"/>
        </w:rPr>
        <w:t xml:space="preserve">w</w:t>
      </w:r>
      <w:r w:rsidDel="00000000" w:rsidR="00000000" w:rsidRPr="00000000">
        <w:rPr>
          <w:color w:val="00000a"/>
          <w:sz w:val="24"/>
          <w:szCs w:val="24"/>
          <w:rtl w:val="0"/>
        </w:rPr>
        <w:t xml:space="preserve">, </w:t>
      </w:r>
      <w:r w:rsidDel="00000000" w:rsidR="00000000" w:rsidRPr="00000000">
        <w:rPr>
          <w:b w:val="1"/>
          <w:color w:val="00000a"/>
          <w:sz w:val="24"/>
          <w:szCs w:val="24"/>
          <w:rtl w:val="0"/>
        </w:rPr>
        <w:t xml:space="preserve">Y</w:t>
      </w:r>
      <w:r w:rsidDel="00000000" w:rsidR="00000000" w:rsidRPr="00000000">
        <w:rPr>
          <w:color w:val="00000a"/>
          <w:sz w:val="24"/>
          <w:szCs w:val="24"/>
          <w:vertAlign w:val="subscript"/>
          <w:rtl w:val="0"/>
        </w:rPr>
        <w:t xml:space="preserve">W</w:t>
      </w:r>
      <w:r w:rsidDel="00000000" w:rsidR="00000000" w:rsidRPr="00000000">
        <w:rPr>
          <w:color w:val="00000a"/>
          <w:sz w:val="24"/>
          <w:szCs w:val="24"/>
          <w:rtl w:val="0"/>
        </w:rPr>
        <w:t xml:space="preserve">) with radius </w:t>
      </w:r>
      <w:r w:rsidDel="00000000" w:rsidR="00000000" w:rsidRPr="00000000">
        <w:rPr>
          <w:b w:val="1"/>
          <w:color w:val="00000a"/>
          <w:sz w:val="24"/>
          <w:szCs w:val="24"/>
          <w:rtl w:val="0"/>
        </w:rPr>
        <w:t xml:space="preserve">R</w:t>
      </w:r>
      <w:r w:rsidDel="00000000" w:rsidR="00000000" w:rsidRPr="00000000">
        <w:rPr>
          <w:color w:val="00000a"/>
          <w:sz w:val="24"/>
          <w:szCs w:val="24"/>
          <w:vertAlign w:val="subscript"/>
          <w:rtl w:val="0"/>
        </w:rPr>
        <w:t xml:space="preserve">W</w:t>
      </w:r>
      <w:r w:rsidDel="00000000" w:rsidR="00000000" w:rsidRPr="00000000">
        <w:rPr>
          <w:color w:val="00000a"/>
          <w:sz w:val="24"/>
          <w:szCs w:val="24"/>
          <w:rtl w:val="0"/>
        </w:rPr>
        <w:t xml:space="preserve">, the part of the sky that she could see through her window. </w:t>
      </w:r>
    </w:p>
    <w:p w:rsidR="00000000" w:rsidDel="00000000" w:rsidP="00000000" w:rsidRDefault="00000000" w:rsidRPr="00000000">
      <w:pPr>
        <w:contextualSpacing w:val="0"/>
      </w:pPr>
      <w:r w:rsidDel="00000000" w:rsidR="00000000" w:rsidRPr="00000000">
        <w:rPr>
          <w:color w:val="00000a"/>
          <w:sz w:val="24"/>
          <w:szCs w:val="24"/>
          <w:rtl w:val="0"/>
        </w:rPr>
        <w:t xml:space="preserve">The next line contains </w:t>
      </w:r>
      <w:r w:rsidDel="00000000" w:rsidR="00000000" w:rsidRPr="00000000">
        <w:rPr>
          <w:sz w:val="24"/>
          <w:szCs w:val="24"/>
          <w:rtl w:val="0"/>
        </w:rPr>
        <w:t xml:space="preserve">three integers </w:t>
      </w:r>
      <w:r w:rsidDel="00000000" w:rsidR="00000000" w:rsidRPr="00000000">
        <w:rPr>
          <w:b w:val="1"/>
          <w:sz w:val="24"/>
          <w:szCs w:val="24"/>
          <w:rtl w:val="0"/>
        </w:rPr>
        <w:t xml:space="preserve">X</w:t>
      </w:r>
      <w:r w:rsidDel="00000000" w:rsidR="00000000" w:rsidRPr="00000000">
        <w:rPr>
          <w:sz w:val="24"/>
          <w:szCs w:val="24"/>
          <w:vertAlign w:val="subscript"/>
          <w:rtl w:val="0"/>
        </w:rPr>
        <w:t xml:space="preserve">M</w:t>
      </w:r>
      <w:r w:rsidDel="00000000" w:rsidR="00000000" w:rsidRPr="00000000">
        <w:rPr>
          <w:sz w:val="24"/>
          <w:szCs w:val="24"/>
          <w:rtl w:val="0"/>
        </w:rPr>
        <w:t xml:space="preserve">, </w:t>
      </w:r>
      <w:r w:rsidDel="00000000" w:rsidR="00000000" w:rsidRPr="00000000">
        <w:rPr>
          <w:b w:val="1"/>
          <w:sz w:val="24"/>
          <w:szCs w:val="24"/>
          <w:rtl w:val="0"/>
        </w:rPr>
        <w:t xml:space="preserve">Y</w:t>
      </w:r>
      <w:r w:rsidDel="00000000" w:rsidR="00000000" w:rsidRPr="00000000">
        <w:rPr>
          <w:sz w:val="24"/>
          <w:szCs w:val="24"/>
          <w:vertAlign w:val="subscript"/>
          <w:rtl w:val="0"/>
        </w:rPr>
        <w:t xml:space="preserve">M</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vertAlign w:val="subscript"/>
          <w:rtl w:val="0"/>
        </w:rPr>
        <w:t xml:space="preserve">M</w:t>
      </w:r>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X</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Y</w:t>
      </w:r>
      <w:r w:rsidDel="00000000" w:rsidR="00000000" w:rsidRPr="00000000">
        <w:rPr>
          <w:sz w:val="24"/>
          <w:szCs w:val="24"/>
          <w:vertAlign w:val="subscript"/>
          <w:rtl w:val="0"/>
        </w:rPr>
        <w:t xml:space="preserve">w</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vertAlign w:val="subscript"/>
          <w:rtl w:val="0"/>
        </w:rPr>
        <w:t xml:space="preserve">w </w:t>
      </w:r>
      <w:r w:rsidDel="00000000" w:rsidR="00000000" w:rsidRPr="00000000">
        <w:rPr>
          <w:rFonts w:ascii="Arial Unicode MS" w:cs="Arial Unicode MS" w:eastAsia="Arial Unicode MS" w:hAnsi="Arial Unicode MS"/>
          <w:color w:val="00000a"/>
          <w:sz w:val="24"/>
          <w:szCs w:val="24"/>
          <w:rtl w:val="0"/>
        </w:rPr>
        <w:t xml:space="preserve">≤ 1000), the position of the moon in the sky.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each test case, output the area of the moon that was visible, rounded to two decimal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3.14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1.23</w:t>
      </w: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Mehwar Raza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atlantic.com/photo/2016/11/supermoon-2016/507605/" TargetMode="External"/><Relationship Id="rId6" Type="http://schemas.openxmlformats.org/officeDocument/2006/relationships/header" Target="header1.xml"/></Relationships>
</file>