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CCCCC" w:sz="1" w:space="4"/>
        </w:pBdr>
        <w:spacing w:after="200" w:before="400"/>
      </w:pPr>
      <w:r>
        <w:t xml:space="preserve">Sales Opportunity Brief — Revive Bond-Repair Shampoo &amp; Conditioner System</w:t>
      </w:r>
    </w:p>
    <w:p>
      <w:pPr>
        <w:pStyle w:val="Heading2"/>
        <w:spacing w:after="120" w:before="300"/>
      </w:pPr>
      <w:r>
        <w:t xml:space="preserve">Client Overview</w:t>
      </w:r>
    </w:p>
    <w:p>
      <w:pPr>
        <w:spacing w:after="80"/>
      </w:pPr>
      <w:r>
        <w:t xml:space="preserve">Brand: Revive</w:t>
      </w:r>
    </w:p>
    <w:p>
      <w:pPr>
        <w:spacing w:after="80"/>
      </w:pPr>
      <w:r>
        <w:t xml:space="preserve">Segment: Salon Professional</w:t>
      </w:r>
    </w:p>
    <w:p>
      <w:pPr>
        <w:spacing w:after="80"/>
      </w:pPr>
      <w:r>
        <w:t xml:space="preserve">Product Concept: Bond-Repair Shampoo + Conditioner System (2-SKU launch)</w:t>
      </w:r>
    </w:p>
    <w:p>
      <w:pPr>
        <w:spacing w:after="80"/>
      </w:pPr>
      <w:r>
        <w:t xml:space="preserve">Target Consumer: Salon clients and at-home users seeking professional-grade bond-repair haircare</w:t>
      </w:r>
    </w:p>
    <w:p>
      <w:pPr>
        <w:spacing w:after="80"/>
      </w:pPr>
      <w:r>
        <w:t xml:space="preserve">Market Positioning: Prestige mass market</w:t>
      </w:r>
    </w:p>
    <w:p>
      <w:pPr>
        <w:pStyle w:val="Heading2"/>
        <w:spacing w:after="120" w:before="300"/>
      </w:pPr>
      <w:r>
        <w:t xml:space="preserve">Product &amp; Pricing Summary</w:t>
      </w:r>
    </w:p>
    <w:p>
      <w:pPr>
        <w:spacing w:after="80"/>
      </w:pPr>
      <w:r>
        <w:t xml:space="preserve">SKU 1: Bond-Repair Shampoo — Retail Price: $28.00 USD</w:t>
      </w:r>
    </w:p>
    <w:p>
      <w:pPr>
        <w:spacing w:after="80"/>
      </w:pPr>
      <w:r>
        <w:t xml:space="preserve">SKU 2: Bond-Repair Conditioner — Retail Price: $32.00 USD</w:t>
      </w:r>
    </w:p>
    <w:p>
      <w:pPr>
        <w:spacing w:after="80"/>
      </w:pPr>
      <w:r>
        <w:t xml:space="preserve">Total System Retail Value: $60.00 USD</w:t>
      </w:r>
    </w:p>
    <w:p>
      <w:pPr>
        <w:spacing w:after="80"/>
      </w:pPr>
      <w:r>
        <w:t xml:space="preserve">Channel: Salon professional retail and direct-to-consumer (at-home use)</w:t>
      </w:r>
    </w:p>
    <w:p>
      <w:pPr>
        <w:spacing w:after="80"/>
      </w:pPr>
      <w:r>
        <w:t xml:space="preserve">Packaging Format: [To be confirmed]</w:t>
      </w:r>
    </w:p>
    <w:p>
      <w:pPr>
        <w:spacing w:after="80"/>
      </w:pPr>
      <w:r>
        <w:t xml:space="preserve">Fill Size: [To be confirmed]</w:t>
      </w:r>
    </w:p>
    <w:p>
      <w:pPr>
        <w:pStyle w:val="Heading2"/>
        <w:spacing w:after="120" w:before="300"/>
      </w:pPr>
      <w:r>
        <w:t xml:space="preserve">Target Claims</w:t>
      </w:r>
    </w:p>
    <w:p>
      <w:pPr>
        <w:spacing w:after="80"/>
      </w:pPr>
      <w:r>
        <w:t xml:space="preserve">The following cosmetic claims have been identified for this system:</w:t>
      </w:r>
    </w:p>
    <w:p>
      <w:pPr>
        <w:pStyle w:val="ListParagraph"/>
        <w:numPr>
          <w:ilvl w:val="0"/>
          <w:numId w:val="1"/>
        </w:numPr>
        <w:spacing w:after="80"/>
      </w:pPr>
      <w:r>
        <w:t xml:space="preserve">• Bond repair</w:t>
      </w:r>
    </w:p>
    <w:p>
      <w:pPr>
        <w:pStyle w:val="ListParagraph"/>
        <w:numPr>
          <w:ilvl w:val="0"/>
          <w:numId w:val="1"/>
        </w:numPr>
        <w:spacing w:after="80"/>
      </w:pPr>
      <w:r>
        <w:t xml:space="preserve">• Breakage reduction</w:t>
      </w:r>
    </w:p>
    <w:p>
      <w:pPr>
        <w:pStyle w:val="ListParagraph"/>
        <w:numPr>
          <w:ilvl w:val="0"/>
          <w:numId w:val="1"/>
        </w:numPr>
        <w:spacing w:after="80"/>
      </w:pPr>
      <w:r>
        <w:t xml:space="preserve">• Frizz control</w:t>
      </w:r>
    </w:p>
    <w:p>
      <w:pPr>
        <w:spacing w:after="80"/>
      </w:pPr>
      <w:r>
        <w:t xml:space="preserve">Claim Type: Cosmetic claims only — no drug claims are being pursued at this stage.</w:t>
      </w:r>
    </w:p>
    <w:p>
      <w:pPr>
        <w:spacing w:after="80"/>
      </w:pPr>
      <w:r>
        <w:t xml:space="preserve">Claim Substantiation Strategy: [To be confirmed — recommend discussing clinical or consumer perception testing options]</w:t>
      </w:r>
    </w:p>
    <w:p>
      <w:pPr>
        <w:pStyle w:val="Heading2"/>
        <w:spacing w:after="120" w:before="300"/>
      </w:pPr>
      <w:r>
        <w:t xml:space="preserve">Volume Forecast</w:t>
      </w:r>
    </w:p>
    <w:p>
      <w:pPr>
        <w:spacing w:after="80"/>
      </w:pPr>
      <w:r>
        <w:t xml:space="preserve">Launch Volume (Phase 1): 5,000 units per SKU (10,000 units total)</w:t>
      </w:r>
    </w:p>
    <w:p>
      <w:pPr>
        <w:spacing w:after="80"/>
      </w:pPr>
      <w:r>
        <w:t xml:space="preserve">Scale Target (18 months): 25,000 units per SKU (50,000 units total)</w:t>
      </w:r>
    </w:p>
    <w:p>
      <w:pPr>
        <w:spacing w:after="80"/>
      </w:pPr>
      <w:r>
        <w:t xml:space="preserve">Growth Multiple: 5x over 18-month horizon</w:t>
      </w:r>
    </w:p>
    <w:p>
      <w:pPr>
        <w:spacing w:after="80"/>
      </w:pPr>
      <w:r>
        <w:t xml:space="preserve">Forecast Confidence: Initial projection provided by client — detailed ramp schedule [To be confirmed]</w:t>
      </w:r>
    </w:p>
    <w:p>
      <w:pPr>
        <w:pStyle w:val="Heading2"/>
        <w:spacing w:after="120" w:before="300"/>
      </w:pPr>
      <w:r>
        <w:t xml:space="preserve">Geographic Markets</w:t>
      </w:r>
    </w:p>
    <w:p>
      <w:pPr>
        <w:pStyle w:val="ListParagraph"/>
        <w:numPr>
          <w:ilvl w:val="0"/>
          <w:numId w:val="1"/>
        </w:numPr>
        <w:spacing w:after="80"/>
      </w:pPr>
      <w:r>
        <w:t xml:space="preserve">• United States (primary launch market)</w:t>
      </w:r>
    </w:p>
    <w:p>
      <w:pPr>
        <w:pStyle w:val="ListParagraph"/>
        <w:numPr>
          <w:ilvl w:val="0"/>
          <w:numId w:val="1"/>
        </w:numPr>
        <w:spacing w:after="80"/>
      </w:pPr>
      <w:r>
        <w:t xml:space="preserve">• Canada (simultaneous launch)</w:t>
      </w:r>
    </w:p>
    <w:p>
      <w:pPr>
        <w:spacing w:after="80"/>
      </w:pPr>
      <w:r>
        <w:t xml:space="preserve">Note: Bilingual labeling (English/French) will be required for Canadian market compliance. Regulatory requirements differ between US and Canada — see regulatory section below.</w:t>
      </w:r>
    </w:p>
    <w:p>
      <w:pPr>
        <w:pStyle w:val="Heading2"/>
        <w:spacing w:after="120" w:before="300"/>
      </w:pPr>
      <w:r>
        <w:t xml:space="preserve">Key Sales Opportunity Highlights</w:t>
      </w:r>
    </w:p>
    <w:p>
      <w:pPr>
        <w:pStyle w:val="ListParagraph"/>
        <w:numPr>
          <w:ilvl w:val="0"/>
          <w:numId w:val="1"/>
        </w:numPr>
        <w:spacing w:after="80"/>
      </w:pPr>
      <w:r>
        <w:t xml:space="preserve">• Two-SKU system sale with strong system attachment potential (consumers purchasing both products together)</w:t>
      </w:r>
    </w:p>
    <w:p>
      <w:pPr>
        <w:pStyle w:val="ListParagraph"/>
        <w:numPr>
          <w:ilvl w:val="0"/>
          <w:numId w:val="1"/>
        </w:numPr>
        <w:spacing w:after="80"/>
      </w:pPr>
      <w:r>
        <w:t xml:space="preserve">• Prestige mass price point supports healthy margin structure</w:t>
      </w:r>
    </w:p>
    <w:p>
      <w:pPr>
        <w:pStyle w:val="ListParagraph"/>
        <w:numPr>
          <w:ilvl w:val="0"/>
          <w:numId w:val="1"/>
        </w:numPr>
        <w:spacing w:after="80"/>
      </w:pPr>
      <w:r>
        <w:t xml:space="preserve">• Bond-repair is a high-growth, trend-driven category with proven consumer demand (reference: Olaplex effect on the market)</w:t>
      </w:r>
    </w:p>
    <w:p>
      <w:pPr>
        <w:pStyle w:val="ListParagraph"/>
        <w:numPr>
          <w:ilvl w:val="0"/>
          <w:numId w:val="1"/>
        </w:numPr>
        <w:spacing w:after="80"/>
      </w:pPr>
      <w:r>
        <w:t xml:space="preserve">• Salon professional channel provides credibility and word-of-mouth amplification</w:t>
      </w:r>
    </w:p>
    <w:p>
      <w:pPr>
        <w:pStyle w:val="ListParagraph"/>
        <w:numPr>
          <w:ilvl w:val="0"/>
          <w:numId w:val="1"/>
        </w:numPr>
        <w:spacing w:after="80"/>
      </w:pPr>
      <w:r>
        <w:t xml:space="preserve">• Clear 5x volume scale trajectory represents significant revenue growth opportunity</w:t>
      </w:r>
    </w:p>
    <w:p>
      <w:pPr>
        <w:pStyle w:val="ListParagraph"/>
        <w:numPr>
          <w:ilvl w:val="0"/>
          <w:numId w:val="1"/>
        </w:numPr>
        <w:spacing w:after="80"/>
      </w:pPr>
      <w:r>
        <w:t xml:space="preserve">• No drug claims simplifies regulatory pathway and speeds time to market</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Client Proposal — Revive Bond-Repair Haircare System</w:t>
      </w:r>
    </w:p>
    <w:p>
      <w:pPr>
        <w:pStyle w:val="Heading2"/>
        <w:spacing w:after="120" w:before="300"/>
      </w:pPr>
      <w:r>
        <w:t xml:space="preserve">Executive Summary</w:t>
      </w:r>
    </w:p>
    <w:p>
      <w:pPr>
        <w:spacing w:after="80"/>
      </w:pPr>
      <w:r>
        <w:t xml:space="preserve">CosmoLab is pleased to present this proposal to Revive for the development and supply of a professional-grade Bond-Repair Shampoo and Conditioner system. This proposal outlines our recommended development approach, production scope, and partnership structure to bring Revive's vision to market across the US and Canada.</w:t>
      </w:r>
    </w:p>
    <w:p>
      <w:pPr>
        <w:pStyle w:val="Heading2"/>
        <w:spacing w:after="120" w:before="300"/>
      </w:pPr>
      <w:r>
        <w:t xml:space="preserve">Proposed Scope of Work</w:t>
      </w:r>
    </w:p>
    <w:p>
      <w:pPr>
        <w:spacing w:after="80"/>
      </w:pPr>
      <w:r>
        <w:t xml:space="preserve">Phase 1 — Formulation Development</w:t>
      </w:r>
    </w:p>
    <w:p>
      <w:pPr>
        <w:pStyle w:val="ListParagraph"/>
        <w:numPr>
          <w:ilvl w:val="0"/>
          <w:numId w:val="1"/>
        </w:numPr>
        <w:spacing w:after="80"/>
      </w:pPr>
      <w:r>
        <w:t xml:space="preserve">• Bond-Repair Shampoo: Development of a sulfate-[to be confirmed] shampoo formula incorporating bond-repair actives supporting breakage reduction and frizz control claims</w:t>
      </w:r>
    </w:p>
    <w:p>
      <w:pPr>
        <w:pStyle w:val="ListParagraph"/>
        <w:numPr>
          <w:ilvl w:val="0"/>
          <w:numId w:val="1"/>
        </w:numPr>
        <w:spacing w:after="80"/>
      </w:pPr>
      <w:r>
        <w:t xml:space="preserve">• Bond-Repair Conditioner: Development of a complementary conditioning formula with bond-repair technology for cohesive system performance</w:t>
      </w:r>
    </w:p>
    <w:p>
      <w:pPr>
        <w:pStyle w:val="ListParagraph"/>
        <w:numPr>
          <w:ilvl w:val="0"/>
          <w:numId w:val="1"/>
        </w:numPr>
        <w:spacing w:after="80"/>
      </w:pPr>
      <w:r>
        <w:t xml:space="preserve">• Fragrance alignment across both SKUs for brand cohesion [Fragrance brief: To be confirmed]</w:t>
      </w:r>
    </w:p>
    <w:p>
      <w:pPr>
        <w:pStyle w:val="ListParagraph"/>
        <w:numPr>
          <w:ilvl w:val="0"/>
          <w:numId w:val="1"/>
        </w:numPr>
        <w:spacing w:after="80"/>
      </w:pPr>
      <w:r>
        <w:t xml:space="preserve">• Formula optimization for salon professional consumer expectations (texture, lather, rinse, sensory)</w:t>
      </w:r>
    </w:p>
    <w:p>
      <w:pPr>
        <w:spacing w:after="80"/>
      </w:pPr>
      <w:r>
        <w:t xml:space="preserve">Phase 2 — Claim Substantiation</w:t>
      </w:r>
    </w:p>
    <w:p>
      <w:pPr>
        <w:pStyle w:val="ListParagraph"/>
        <w:numPr>
          <w:ilvl w:val="0"/>
          <w:numId w:val="1"/>
        </w:numPr>
        <w:spacing w:after="80"/>
      </w:pPr>
      <w:r>
        <w:t xml:space="preserve">• Recommended: Consumer perception study and/or in-vitro breakage/bond testing to substantiate bond repair, breakage reduction, and frizz control claims</w:t>
      </w:r>
    </w:p>
    <w:p>
      <w:pPr>
        <w:pStyle w:val="ListParagraph"/>
        <w:numPr>
          <w:ilvl w:val="0"/>
          <w:numId w:val="1"/>
        </w:numPr>
        <w:spacing w:after="80"/>
      </w:pPr>
      <w:r>
        <w:t xml:space="preserve">• Testing scope and vendor: [To be confirmed]</w:t>
      </w:r>
    </w:p>
    <w:p>
      <w:pPr>
        <w:spacing w:after="80"/>
      </w:pPr>
      <w:r>
        <w:t xml:space="preserve">Phase 3 — Regulatory &amp; Labeling</w:t>
      </w:r>
    </w:p>
    <w:p>
      <w:pPr>
        <w:pStyle w:val="ListParagraph"/>
        <w:numPr>
          <w:ilvl w:val="0"/>
          <w:numId w:val="1"/>
        </w:numPr>
        <w:spacing w:after="80"/>
      </w:pPr>
      <w:r>
        <w:t xml:space="preserve">• US FDA cosmetic labeling compliance (MoCRA considerations)</w:t>
      </w:r>
    </w:p>
    <w:p>
      <w:pPr>
        <w:pStyle w:val="ListParagraph"/>
        <w:numPr>
          <w:ilvl w:val="0"/>
          <w:numId w:val="1"/>
        </w:numPr>
        <w:spacing w:after="80"/>
      </w:pPr>
      <w:r>
        <w:t xml:space="preserve">• Canada Health Canada cosmetic notification and bilingual label requirements</w:t>
      </w:r>
    </w:p>
    <w:p>
      <w:pPr>
        <w:pStyle w:val="ListParagraph"/>
        <w:numPr>
          <w:ilvl w:val="0"/>
          <w:numId w:val="1"/>
        </w:numPr>
        <w:spacing w:after="80"/>
      </w:pPr>
      <w:r>
        <w:t xml:space="preserve">• INCI ingredient listing finalization</w:t>
      </w:r>
    </w:p>
    <w:p>
      <w:pPr>
        <w:spacing w:after="80"/>
      </w:pPr>
      <w:r>
        <w:t xml:space="preserve">Phase 4 — Production</w:t>
      </w:r>
    </w:p>
    <w:p>
      <w:pPr>
        <w:pStyle w:val="ListParagraph"/>
        <w:numPr>
          <w:ilvl w:val="0"/>
          <w:numId w:val="1"/>
        </w:numPr>
        <w:spacing w:after="80"/>
      </w:pPr>
      <w:r>
        <w:t xml:space="preserve">• Phase 1 production run: 5,000 units per SKU</w:t>
      </w:r>
    </w:p>
    <w:p>
      <w:pPr>
        <w:pStyle w:val="ListParagraph"/>
        <w:numPr>
          <w:ilvl w:val="0"/>
          <w:numId w:val="1"/>
        </w:numPr>
        <w:spacing w:after="80"/>
      </w:pPr>
      <w:r>
        <w:t xml:space="preserve">• Scale production planning for 25,000 units per SKU within 18 months</w:t>
      </w:r>
    </w:p>
    <w:p>
      <w:pPr>
        <w:pStyle w:val="Heading2"/>
        <w:spacing w:after="120" w:before="300"/>
      </w:pPr>
      <w:r>
        <w:t xml:space="preserve">Pricing Estimate</w:t>
      </w:r>
    </w:p>
    <w:p>
      <w:pPr>
        <w:spacing w:after="80"/>
      </w:pPr>
      <w:r>
        <w:t xml:space="preserve">Formulation Development Fee (2 SKUs): [To be confirmed — pending brief and complexity assessment]</w:t>
      </w:r>
    </w:p>
    <w:p>
      <w:pPr>
        <w:spacing w:after="80"/>
      </w:pPr>
      <w:r>
        <w:t xml:space="preserve">Sample and Stability Testing: [To be confirmed]</w:t>
      </w:r>
    </w:p>
    <w:p>
      <w:pPr>
        <w:spacing w:after="80"/>
      </w:pPr>
      <w:r>
        <w:t xml:space="preserve">Claim Substantiation Testing: [To be confirmed]</w:t>
      </w:r>
    </w:p>
    <w:p>
      <w:pPr>
        <w:spacing w:after="80"/>
      </w:pPr>
      <w:r>
        <w:t xml:space="preserve">Unit Cost of Goods (Phase 1 — 5,000 units/SKU): [To be confirmed — MOQ and BOM pending]</w:t>
      </w:r>
    </w:p>
    <w:p>
      <w:pPr>
        <w:spacing w:after="80"/>
      </w:pPr>
      <w:r>
        <w:t xml:space="preserve">Unit Cost of Goods (Scale — 25,000 units/SKU): [To be confirmed — volume pricing to apply]</w:t>
      </w:r>
    </w:p>
    <w:p>
      <w:pPr>
        <w:spacing w:after="80"/>
      </w:pPr>
      <w:r>
        <w:t xml:space="preserve">Note: Detailed cost of goods will be provided upon receipt of packaging specifications, fill size confirmation, and formula brief sign-off.</w:t>
      </w:r>
    </w:p>
    <w:p>
      <w:pPr>
        <w:pStyle w:val="Heading2"/>
        <w:spacing w:after="120" w:before="300"/>
      </w:pPr>
      <w:r>
        <w:t xml:space="preserve">Indicative Project Timeline</w:t>
      </w:r>
    </w:p>
    <w:p>
      <w:pPr>
        <w:spacing w:after="80"/>
      </w:pPr>
      <w:r>
        <w:t xml:space="preserve">Week 1–2: Project kick-off, brief alignment, fragrance selection initiation</w:t>
      </w:r>
    </w:p>
    <w:p>
      <w:pPr>
        <w:spacing w:after="80"/>
      </w:pPr>
      <w:r>
        <w:t xml:space="preserve">Week 2–8: Formulation development and internal benchmarking</w:t>
      </w:r>
    </w:p>
    <w:p>
      <w:pPr>
        <w:spacing w:after="80"/>
      </w:pPr>
      <w:r>
        <w:t xml:space="preserve">Week 8–10: Sample submission to client for review</w:t>
      </w:r>
    </w:p>
    <w:p>
      <w:pPr>
        <w:spacing w:after="80"/>
      </w:pPr>
      <w:r>
        <w:t xml:space="preserve">Week 10–14: Client feedback, formula iterations, and approval</w:t>
      </w:r>
    </w:p>
    <w:p>
      <w:pPr>
        <w:spacing w:after="80"/>
      </w:pPr>
      <w:r>
        <w:t xml:space="preserve">Week 14–20: Stability and compatibility testing</w:t>
      </w:r>
    </w:p>
    <w:p>
      <w:pPr>
        <w:spacing w:after="80"/>
      </w:pPr>
      <w:r>
        <w:t xml:space="preserve">Week 16–20: Claim substantiation testing (parallel track)</w:t>
      </w:r>
    </w:p>
    <w:p>
      <w:pPr>
        <w:spacing w:after="80"/>
      </w:pPr>
      <w:r>
        <w:t xml:space="preserve">Week 18–22: Regulatory review and label finalization</w:t>
      </w:r>
    </w:p>
    <w:p>
      <w:pPr>
        <w:spacing w:after="80"/>
      </w:pPr>
      <w:r>
        <w:t xml:space="preserve">Week 22–26: Production of Phase 1 run (5,000 units/SKU)</w:t>
      </w:r>
    </w:p>
    <w:p>
      <w:pPr>
        <w:spacing w:after="80"/>
      </w:pPr>
      <w:r>
        <w:t xml:space="preserve">Full timeline subject to confirmation pending project complexity and client response times.</w:t>
      </w:r>
    </w:p>
    <w:p>
      <w:pPr>
        <w:pStyle w:val="Heading2"/>
        <w:spacing w:after="120" w:before="300"/>
      </w:pPr>
      <w:r>
        <w:t xml:space="preserve">Why CosmoLab</w:t>
      </w:r>
    </w:p>
    <w:p>
      <w:pPr>
        <w:pStyle w:val="ListParagraph"/>
        <w:numPr>
          <w:ilvl w:val="0"/>
          <w:numId w:val="1"/>
        </w:numPr>
        <w:spacing w:after="80"/>
      </w:pPr>
      <w:r>
        <w:t xml:space="preserve">• Deep expertise in bond-repair and protein-based haircare technology</w:t>
      </w:r>
    </w:p>
    <w:p>
      <w:pPr>
        <w:pStyle w:val="ListParagraph"/>
        <w:numPr>
          <w:ilvl w:val="0"/>
          <w:numId w:val="1"/>
        </w:numPr>
        <w:spacing w:after="80"/>
      </w:pPr>
      <w:r>
        <w:t xml:space="preserve">• Experience serving salon professional brands at prestige mass price positioning</w:t>
      </w:r>
    </w:p>
    <w:p>
      <w:pPr>
        <w:pStyle w:val="ListParagraph"/>
        <w:numPr>
          <w:ilvl w:val="0"/>
          <w:numId w:val="1"/>
        </w:numPr>
        <w:spacing w:after="80"/>
      </w:pPr>
      <w:r>
        <w:t xml:space="preserve">• Dual US/Canada regulatory capability — streamlined path to both markets</w:t>
      </w:r>
    </w:p>
    <w:p>
      <w:pPr>
        <w:pStyle w:val="ListParagraph"/>
        <w:numPr>
          <w:ilvl w:val="0"/>
          <w:numId w:val="1"/>
        </w:numPr>
        <w:spacing w:after="80"/>
      </w:pPr>
      <w:r>
        <w:t xml:space="preserve">• Scalable manufacturing to support Revive's 5x growth trajectory</w:t>
      </w:r>
    </w:p>
    <w:p>
      <w:pPr>
        <w:pStyle w:val="ListParagraph"/>
        <w:numPr>
          <w:ilvl w:val="0"/>
          <w:numId w:val="1"/>
        </w:numPr>
        <w:spacing w:after="80"/>
      </w:pPr>
      <w:r>
        <w:t xml:space="preserve">• End-to-end support from formulation through production and compliance</w:t>
      </w:r>
    </w:p>
    <w:p>
      <w:pPr>
        <w:pStyle w:val="Heading2"/>
        <w:spacing w:after="120" w:before="300"/>
      </w:pPr>
      <w:r>
        <w:t xml:space="preserve">Next Steps</w:t>
      </w:r>
    </w:p>
    <w:p>
      <w:pPr>
        <w:spacing w:after="80"/>
      </w:pPr>
      <w:r>
        <w:t xml:space="preserve">To advance this opportunity, we recommend the following:</w:t>
      </w:r>
    </w:p>
    <w:p>
      <w:pPr>
        <w:spacing w:after="80"/>
      </w:pPr>
      <w:r>
        <w:t xml:space="preserve">1. Schedule a technical kick-off call to align on formula brief, actives preferences, and fragrance direction</w:t>
      </w:r>
    </w:p>
    <w:p>
      <w:pPr>
        <w:spacing w:after="80"/>
      </w:pPr>
      <w:r>
        <w:t xml:space="preserve">2. Confirm packaging format and fill sizes to enable accurate COG modeling</w:t>
      </w:r>
    </w:p>
    <w:p>
      <w:pPr>
        <w:spacing w:after="80"/>
      </w:pPr>
      <w:r>
        <w:t xml:space="preserve">3. Align on claim substantiation testing approach and budget</w:t>
      </w:r>
    </w:p>
    <w:p>
      <w:pPr>
        <w:spacing w:after="80"/>
      </w:pPr>
      <w:r>
        <w:t xml:space="preserve">4. Execute development agreement / project initiation paperwork</w:t>
      </w:r>
    </w:p>
    <w:p>
      <w:pPr>
        <w:spacing w:after="80"/>
      </w:pPr>
      <w:r>
        <w:t xml:space="preserve">CosmoLab contact: [To be confirmed]</w:t>
      </w:r>
    </w:p>
    <w:p>
      <w:pPr>
        <w:spacing w:after="80"/>
      </w:pPr>
      <w:r>
        <w:t xml:space="preserve">Proposal valid for: 30 days from date of issue</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Competitive &amp; Market Positioning Summary — Bond-Repair Haircare Category</w:t>
      </w:r>
    </w:p>
    <w:p>
      <w:pPr>
        <w:pStyle w:val="Heading2"/>
        <w:spacing w:after="120" w:before="300"/>
      </w:pPr>
      <w:r>
        <w:t xml:space="preserve">Category Overview</w:t>
      </w:r>
    </w:p>
    <w:p>
      <w:pPr>
        <w:spacing w:after="80"/>
      </w:pPr>
      <w:r>
        <w:t xml:space="preserve">The bond-repair haircare category has experienced significant growth driven by consumer awareness of hair damage at the chemical and structural level. Pioneered at mass scale by brands such as Olaplex, the category has expanded across all price tiers. The prestige mass segment — where Revive is positioning at $28/$32 per SKU — represents a high-value sweet spot between accessible and aspirational.</w:t>
      </w:r>
    </w:p>
    <w:p>
      <w:pPr>
        <w:pStyle w:val="Heading2"/>
        <w:spacing w:after="120" w:before="300"/>
      </w:pPr>
      <w:r>
        <w:t xml:space="preserve">Competitive Landscape (Illustrative)</w:t>
      </w:r>
    </w:p>
    <w:p>
      <w:pPr>
        <w:spacing w:after="80"/>
      </w:pPr>
      <w:r>
        <w:t xml:space="preserve">Key competitors in the bond-repair shampoo and conditioner space include:</w:t>
      </w:r>
    </w:p>
    <w:p>
      <w:pPr>
        <w:pStyle w:val="ListParagraph"/>
        <w:numPr>
          <w:ilvl w:val="0"/>
          <w:numId w:val="1"/>
        </w:numPr>
        <w:spacing w:after="80"/>
      </w:pPr>
      <w:r>
        <w:t xml:space="preserve">• Olaplex No. 4 &amp; No. 5 — Retail ~$30/$30, salon-originated, strong bond-repair equity, widely distributed</w:t>
      </w:r>
    </w:p>
    <w:p>
      <w:pPr>
        <w:pStyle w:val="ListParagraph"/>
        <w:numPr>
          <w:ilvl w:val="0"/>
          <w:numId w:val="1"/>
        </w:numPr>
        <w:spacing w:after="80"/>
      </w:pPr>
      <w:r>
        <w:t xml:space="preserve">• K18 Peptide Prep Shampoo — Retail ~$38, biotech-forward positioning</w:t>
      </w:r>
    </w:p>
    <w:p>
      <w:pPr>
        <w:pStyle w:val="ListParagraph"/>
        <w:numPr>
          <w:ilvl w:val="0"/>
          <w:numId w:val="1"/>
        </w:numPr>
        <w:spacing w:after="80"/>
      </w:pPr>
      <w:r>
        <w:t xml:space="preserve">• Redken Acidic Bonding Concentrate — Retail ~$28/$28, professional brand, broad salon distribution</w:t>
      </w:r>
    </w:p>
    <w:p>
      <w:pPr>
        <w:pStyle w:val="ListParagraph"/>
        <w:numPr>
          <w:ilvl w:val="0"/>
          <w:numId w:val="1"/>
        </w:numPr>
        <w:spacing w:after="80"/>
      </w:pPr>
      <w:r>
        <w:t xml:space="preserve">• Briogeo Don't Despair, Repair! — Retail ~$42/$42, clean positioning, prestige natural</w:t>
      </w:r>
    </w:p>
    <w:p>
      <w:pPr>
        <w:pStyle w:val="ListParagraph"/>
        <w:numPr>
          <w:ilvl w:val="0"/>
          <w:numId w:val="1"/>
        </w:numPr>
        <w:spacing w:after="80"/>
      </w:pPr>
      <w:r>
        <w:t xml:space="preserve">• Amika The Kure Bond Repair Shampoo/Conditioner — Retail ~$26/$28, trend-forward, salon channel</w:t>
      </w:r>
    </w:p>
    <w:p>
      <w:pPr>
        <w:spacing w:after="80"/>
      </w:pPr>
      <w:r>
        <w:t xml:space="preserve">Revive's $28/$32 price points are well-positioned within the competitive set, with opportunity to differentiate on formulation technology, salon professional credibility, and brand story.</w:t>
      </w:r>
    </w:p>
    <w:p>
      <w:pPr>
        <w:spacing w:after="80"/>
      </w:pPr>
      <w:r>
        <w:t xml:space="preserve">Note: Competitor pricing and positioning subject to change. Sales team to verify current market data prior to client presentations.</w:t>
      </w:r>
    </w:p>
    <w:p>
      <w:pPr>
        <w:pStyle w:val="Heading2"/>
        <w:spacing w:after="120" w:before="300"/>
      </w:pPr>
      <w:r>
        <w:t xml:space="preserve">Revive Differentiation Opportunities</w:t>
      </w:r>
    </w:p>
    <w:p>
      <w:pPr>
        <w:pStyle w:val="ListParagraph"/>
        <w:numPr>
          <w:ilvl w:val="0"/>
          <w:numId w:val="1"/>
        </w:numPr>
        <w:spacing w:after="80"/>
      </w:pPr>
      <w:r>
        <w:t xml:space="preserve">• Salon-exclusive or salon-first launch strategy to build professional credibility before broader distribution</w:t>
      </w:r>
    </w:p>
    <w:p>
      <w:pPr>
        <w:pStyle w:val="ListParagraph"/>
        <w:numPr>
          <w:ilvl w:val="0"/>
          <w:numId w:val="1"/>
        </w:numPr>
        <w:spacing w:after="80"/>
      </w:pPr>
      <w:r>
        <w:t xml:space="preserve">• System-selling approach (shampoo + conditioner purchased as a pair) to increase basket size and consumer commitment</w:t>
      </w:r>
    </w:p>
    <w:p>
      <w:pPr>
        <w:pStyle w:val="ListParagraph"/>
        <w:numPr>
          <w:ilvl w:val="0"/>
          <w:numId w:val="1"/>
        </w:numPr>
        <w:spacing w:after="80"/>
      </w:pPr>
      <w:r>
        <w:t xml:space="preserve">• Bond-repair + frizz control dual-benefit positioning addresses multiple consumer pain points simultaneously</w:t>
      </w:r>
    </w:p>
    <w:p>
      <w:pPr>
        <w:pStyle w:val="ListParagraph"/>
        <w:numPr>
          <w:ilvl w:val="0"/>
          <w:numId w:val="1"/>
        </w:numPr>
        <w:spacing w:after="80"/>
      </w:pPr>
      <w:r>
        <w:t xml:space="preserve">• Prestige mass price point accessible to a broader consumer base than ultra-premium competitors</w:t>
      </w:r>
    </w:p>
    <w:p>
      <w:pPr>
        <w:pStyle w:val="ListParagraph"/>
        <w:numPr>
          <w:ilvl w:val="0"/>
          <w:numId w:val="1"/>
        </w:numPr>
        <w:spacing w:after="80"/>
      </w:pPr>
      <w:r>
        <w:t xml:space="preserve">• Potential for salon stylist advocacy and recommendation as a key acquisition channel</w:t>
      </w:r>
    </w:p>
    <w:p>
      <w:pPr>
        <w:pStyle w:val="Heading2"/>
        <w:spacing w:after="120" w:before="300"/>
      </w:pPr>
      <w:r>
        <w:t xml:space="preserve">Consumer Insight Summary</w:t>
      </w:r>
    </w:p>
    <w:p>
      <w:pPr>
        <w:spacing w:after="80"/>
      </w:pPr>
      <w:r>
        <w:t xml:space="preserve">Target Consumer Profile:</w:t>
      </w:r>
    </w:p>
    <w:p>
      <w:pPr>
        <w:pStyle w:val="ListParagraph"/>
        <w:numPr>
          <w:ilvl w:val="0"/>
          <w:numId w:val="1"/>
        </w:numPr>
        <w:spacing w:after="80"/>
      </w:pPr>
      <w:r>
        <w:t xml:space="preserve">• Salon clients who receive chemical treatments (color, relaxers, keratin, highlights) — high bond-damage concern</w:t>
      </w:r>
    </w:p>
    <w:p>
      <w:pPr>
        <w:pStyle w:val="ListParagraph"/>
        <w:numPr>
          <w:ilvl w:val="0"/>
          <w:numId w:val="1"/>
        </w:numPr>
        <w:spacing w:after="80"/>
      </w:pPr>
      <w:r>
        <w:t xml:space="preserve">• At-home users seeking professional-grade results without salon visits</w:t>
      </w:r>
    </w:p>
    <w:p>
      <w:pPr>
        <w:pStyle w:val="ListParagraph"/>
        <w:numPr>
          <w:ilvl w:val="0"/>
          <w:numId w:val="1"/>
        </w:numPr>
        <w:spacing w:after="80"/>
      </w:pPr>
      <w:r>
        <w:t xml:space="preserve">• Consumers who are ingredient and efficacy-aware — will respond to substantiated claims and visible results</w:t>
      </w:r>
    </w:p>
    <w:p>
      <w:pPr>
        <w:spacing w:after="80"/>
      </w:pPr>
      <w:r>
        <w:t xml:space="preserve">Key Consumer Pain Points Addressed:</w:t>
      </w:r>
    </w:p>
    <w:p>
      <w:pPr>
        <w:pStyle w:val="ListParagraph"/>
        <w:numPr>
          <w:ilvl w:val="0"/>
          <w:numId w:val="1"/>
        </w:numPr>
        <w:spacing w:after="80"/>
      </w:pPr>
      <w:r>
        <w:t xml:space="preserve">• Breakage and weakness from chemical or heat damage</w:t>
      </w:r>
    </w:p>
    <w:p>
      <w:pPr>
        <w:pStyle w:val="ListParagraph"/>
        <w:numPr>
          <w:ilvl w:val="0"/>
          <w:numId w:val="1"/>
        </w:numPr>
        <w:spacing w:after="80"/>
      </w:pPr>
      <w:r>
        <w:t xml:space="preserve">• Frizz and lack of smoothness</w:t>
      </w:r>
    </w:p>
    <w:p>
      <w:pPr>
        <w:pStyle w:val="ListParagraph"/>
        <w:numPr>
          <w:ilvl w:val="0"/>
          <w:numId w:val="1"/>
        </w:numPr>
        <w:spacing w:after="80"/>
      </w:pPr>
      <w:r>
        <w:t xml:space="preserve">• Distrust of generic shampoos — seeking targeted, professional solutions</w:t>
      </w:r>
    </w:p>
    <w:p>
      <w:pPr>
        <w:spacing w:after="80"/>
      </w:pPr>
      <w:r>
        <w:t xml:space="preserve">Purchase Motivators:</w:t>
      </w:r>
    </w:p>
    <w:p>
      <w:pPr>
        <w:pStyle w:val="ListParagraph"/>
        <w:numPr>
          <w:ilvl w:val="0"/>
          <w:numId w:val="1"/>
        </w:numPr>
        <w:spacing w:after="80"/>
      </w:pPr>
      <w:r>
        <w:t xml:space="preserve">• Professional recommendation (salon stylist endorsement)</w:t>
      </w:r>
    </w:p>
    <w:p>
      <w:pPr>
        <w:pStyle w:val="ListParagraph"/>
        <w:numPr>
          <w:ilvl w:val="0"/>
          <w:numId w:val="1"/>
        </w:numPr>
        <w:spacing w:after="80"/>
      </w:pPr>
      <w:r>
        <w:t xml:space="preserve">• Visible, fast results</w:t>
      </w:r>
    </w:p>
    <w:p>
      <w:pPr>
        <w:pStyle w:val="ListParagraph"/>
        <w:numPr>
          <w:ilvl w:val="0"/>
          <w:numId w:val="1"/>
        </w:numPr>
        <w:spacing w:after="80"/>
      </w:pPr>
      <w:r>
        <w:t xml:space="preserve">• System/ritual concept — perceived efficacy of using matched products</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Regulatory Snapshot — US &amp; Canada Cosmetic Compliance (Haircare)</w:t>
      </w:r>
    </w:p>
    <w:p>
      <w:pPr>
        <w:pStyle w:val="Heading2"/>
        <w:spacing w:after="120" w:before="300"/>
      </w:pPr>
      <w:r>
        <w:t xml:space="preserve">Overview</w:t>
      </w:r>
    </w:p>
    <w:p>
      <w:pPr>
        <w:spacing w:after="80"/>
      </w:pPr>
      <w:r>
        <w:t xml:space="preserve">This document provides a high-level regulatory overview for the Revive Bond-Repair Shampoo and Conditioner system intended for sale in the United States and Canada. All claims confirmed as cosmetic claims only — no drug claims are being pursued.</w:t>
      </w:r>
    </w:p>
    <w:p>
      <w:pPr>
        <w:pStyle w:val="Heading2"/>
        <w:spacing w:after="120" w:before="300"/>
      </w:pPr>
      <w:r>
        <w:t xml:space="preserve">United States — FDA / MoCRA Requirements</w:t>
      </w:r>
    </w:p>
    <w:p>
      <w:pPr>
        <w:spacing w:after="80"/>
      </w:pPr>
      <w:r>
        <w:t xml:space="preserve">Applicable Regulation: FDA Modernization of Cosmetics Regulation Act (MoCRA), signed into law December 2022</w:t>
      </w:r>
    </w:p>
    <w:p>
      <w:pPr>
        <w:spacing w:after="80"/>
      </w:pPr>
      <w:r>
        <w:t xml:space="preserve">Key Requirements for US Market:</w:t>
      </w:r>
    </w:p>
    <w:p>
      <w:pPr>
        <w:pStyle w:val="ListParagraph"/>
        <w:numPr>
          <w:ilvl w:val="0"/>
          <w:numId w:val="1"/>
        </w:numPr>
        <w:spacing w:after="80"/>
      </w:pPr>
      <w:r>
        <w:t xml:space="preserve">• Facility Registration: Cosmetic manufacturing and processing facilities must be registered with FDA. Registration renewal required every two years.</w:t>
      </w:r>
    </w:p>
    <w:p>
      <w:pPr>
        <w:pStyle w:val="ListParagraph"/>
        <w:numPr>
          <w:ilvl w:val="0"/>
          <w:numId w:val="1"/>
        </w:numPr>
        <w:spacing w:after="80"/>
      </w:pPr>
      <w:r>
        <w:t xml:space="preserve">• Product Listing: Each cosmetic product (each SKU) must be listed with FDA, including product category, ingredients (INCI), and responsible person information.</w:t>
      </w:r>
    </w:p>
    <w:p>
      <w:pPr>
        <w:pStyle w:val="ListParagraph"/>
        <w:numPr>
          <w:ilvl w:val="0"/>
          <w:numId w:val="1"/>
        </w:numPr>
        <w:spacing w:after="80"/>
      </w:pPr>
      <w:r>
        <w:t xml:space="preserve">• Labeling Requirements:</w:t>
      </w:r>
    </w:p>
    <w:p>
      <w:pPr>
        <w:spacing w:after="80"/>
      </w:pPr>
      <w:r>
        <w:t xml:space="preserve">— Product identity statement</w:t>
      </w:r>
    </w:p>
    <w:p>
      <w:pPr>
        <w:spacing w:after="80"/>
      </w:pPr>
      <w:r>
        <w:t xml:space="preserve">— Net quantity of contents</w:t>
      </w:r>
    </w:p>
    <w:p>
      <w:pPr>
        <w:spacing w:after="80"/>
      </w:pPr>
      <w:r>
        <w:t xml:space="preserve">— Name and address of responsible person</w:t>
      </w:r>
    </w:p>
    <w:p>
      <w:pPr>
        <w:spacing w:after="80"/>
      </w:pPr>
      <w:r>
        <w:t xml:space="preserve">— INCI ingredient list (descending order of predominance)</w:t>
      </w:r>
    </w:p>
    <w:p>
      <w:pPr>
        <w:spacing w:after="80"/>
      </w:pPr>
      <w:r>
        <w:t xml:space="preserve">— Any required warnings</w:t>
      </w:r>
    </w:p>
    <w:p>
      <w:pPr>
        <w:pStyle w:val="ListParagraph"/>
        <w:numPr>
          <w:ilvl w:val="0"/>
          <w:numId w:val="1"/>
        </w:numPr>
        <w:spacing w:after="80"/>
      </w:pPr>
      <w:r>
        <w:t xml:space="preserve">• Safety Substantiation: Responsible person must maintain records substantiating product safety.</w:t>
      </w:r>
    </w:p>
    <w:p>
      <w:pPr>
        <w:pStyle w:val="ListParagraph"/>
        <w:numPr>
          <w:ilvl w:val="0"/>
          <w:numId w:val="1"/>
        </w:numPr>
        <w:spacing w:after="80"/>
      </w:pPr>
      <w:r>
        <w:t xml:space="preserve">• Serious Adverse Event Reporting: Mandatory reporting of serious adverse events to FDA within 15 business days.</w:t>
      </w:r>
    </w:p>
    <w:p>
      <w:pPr>
        <w:pStyle w:val="ListParagraph"/>
        <w:numPr>
          <w:ilvl w:val="0"/>
          <w:numId w:val="1"/>
        </w:numPr>
        <w:spacing w:after="80"/>
      </w:pPr>
      <w:r>
        <w:t xml:space="preserve">• No drug claims permitted — bond repair, breakage reduction, and frizz control are acceptable cosmetic claims if not structured as drug claims.</w:t>
      </w:r>
    </w:p>
    <w:p>
      <w:pPr>
        <w:spacing w:after="80"/>
      </w:pPr>
      <w:r>
        <w:t xml:space="preserve">MoCRA Compliance Deadlines: [To be confirmed with regulatory affairs team — phase-in timelines apply based on company size]</w:t>
      </w:r>
    </w:p>
    <w:p>
      <w:pPr>
        <w:pStyle w:val="Heading2"/>
        <w:spacing w:after="120" w:before="300"/>
      </w:pPr>
      <w:r>
        <w:t xml:space="preserve">Canada — Health Canada Requirements</w:t>
      </w:r>
    </w:p>
    <w:p>
      <w:pPr>
        <w:spacing w:after="80"/>
      </w:pPr>
      <w:r>
        <w:t xml:space="preserve">Applicable Regulation: Cosmetic Regulations under the Canada Consumer Product Safety Act (CCPSA)</w:t>
      </w:r>
    </w:p>
    <w:p>
      <w:pPr>
        <w:spacing w:after="80"/>
      </w:pPr>
      <w:r>
        <w:t xml:space="preserve">Key Requirements for Canadian Market:</w:t>
      </w:r>
    </w:p>
    <w:p>
      <w:pPr>
        <w:pStyle w:val="ListParagraph"/>
        <w:numPr>
          <w:ilvl w:val="0"/>
          <w:numId w:val="1"/>
        </w:numPr>
        <w:spacing w:after="80"/>
      </w:pPr>
      <w:r>
        <w:t xml:space="preserve">• Cosmetic Notification: The responsible party (importer or manufacturer) must notify Health Canada within 10 days of first sale in Canada. Notification includes product name, manufacturer/importer details, and ingredient list.</w:t>
      </w:r>
    </w:p>
    <w:p>
      <w:pPr>
        <w:pStyle w:val="ListParagraph"/>
        <w:numPr>
          <w:ilvl w:val="0"/>
          <w:numId w:val="1"/>
        </w:numPr>
        <w:spacing w:after="80"/>
      </w:pPr>
      <w:r>
        <w:t xml:space="preserve">• Bilingual Labeling: All consumer-facing labels must include English and French text (bilingual requirement under Consumer Packaging and Labelling Act).</w:t>
      </w:r>
    </w:p>
    <w:p>
      <w:pPr>
        <w:pStyle w:val="ListParagraph"/>
        <w:numPr>
          <w:ilvl w:val="0"/>
          <w:numId w:val="1"/>
        </w:numPr>
        <w:spacing w:after="80"/>
      </w:pPr>
      <w:r>
        <w:t xml:space="preserve">• INCI Ingredient List: Required on label in both English and French (INCI names are generally language-neutral but label context must be bilingual).</w:t>
      </w:r>
    </w:p>
    <w:p>
      <w:pPr>
        <w:pStyle w:val="ListParagraph"/>
        <w:numPr>
          <w:ilvl w:val="0"/>
          <w:numId w:val="1"/>
        </w:numPr>
        <w:spacing w:after="80"/>
      </w:pPr>
      <w:r>
        <w:t xml:space="preserve">• Hotlist Compliance: All formula ingredients must be reviewed against Health Canada's Cosmetic Ingredient Hotlist (restricted and prohibited substances).</w:t>
      </w:r>
    </w:p>
    <w:p>
      <w:pPr>
        <w:pStyle w:val="ListParagraph"/>
        <w:numPr>
          <w:ilvl w:val="0"/>
          <w:numId w:val="1"/>
        </w:numPr>
        <w:spacing w:after="80"/>
      </w:pPr>
      <w:r>
        <w:t xml:space="preserve">• Safety: Products must be safe for use as intended; Safety Data is the responsibility of the notifier.</w:t>
      </w:r>
    </w:p>
    <w:p>
      <w:pPr>
        <w:pStyle w:val="ListParagraph"/>
        <w:numPr>
          <w:ilvl w:val="0"/>
          <w:numId w:val="1"/>
        </w:numPr>
        <w:spacing w:after="80"/>
      </w:pPr>
      <w:r>
        <w:t xml:space="preserve">• No NPN (Natural Product Number) required for standard cosmetic claims — bond repair, breakage reduction, and frizz control are cosmetic claims and do not trigger drug/NHP classification.</w:t>
      </w:r>
    </w:p>
    <w:p>
      <w:pPr>
        <w:spacing w:after="80"/>
      </w:pPr>
      <w:r>
        <w:t xml:space="preserve">Note: Ensure French translations of all label copy, marketing claims, and directions for use are reviewed by a qualified French-language specialist.</w:t>
      </w:r>
    </w:p>
    <w:p>
      <w:pPr>
        <w:pStyle w:val="Heading2"/>
        <w:spacing w:after="120" w:before="300"/>
      </w:pPr>
      <w:r>
        <w:t xml:space="preserve">Claim Classification Guidance</w:t>
      </w:r>
    </w:p>
    <w:p>
      <w:pPr>
        <w:spacing w:after="80"/>
      </w:pPr>
      <w:r>
        <w:t xml:space="preserve">The following claims have been reviewed at a high level for classification:</w:t>
      </w:r>
    </w:p>
    <w:p>
      <w:pPr>
        <w:pStyle w:val="ListParagraph"/>
        <w:numPr>
          <w:ilvl w:val="0"/>
          <w:numId w:val="1"/>
        </w:numPr>
        <w:spacing w:after="80"/>
      </w:pPr>
      <w:r>
        <w:t xml:space="preserve">• 'Bond repair' — Cosmetic claim ✓ (refers to improving appearance/condition of hair structure; does not imply physiological drug action if positioned correctly)</w:t>
      </w:r>
    </w:p>
    <w:p>
      <w:pPr>
        <w:pStyle w:val="ListParagraph"/>
        <w:numPr>
          <w:ilvl w:val="0"/>
          <w:numId w:val="1"/>
        </w:numPr>
        <w:spacing w:after="80"/>
      </w:pPr>
      <w:r>
        <w:t xml:space="preserve">• 'Breakage reduction' — Cosmetic claim ✓ (structural/mechanical benefit; acceptable as cosmetic with substantiation)</w:t>
      </w:r>
    </w:p>
    <w:p>
      <w:pPr>
        <w:pStyle w:val="ListParagraph"/>
        <w:numPr>
          <w:ilvl w:val="0"/>
          <w:numId w:val="1"/>
        </w:numPr>
        <w:spacing w:after="80"/>
      </w:pPr>
      <w:r>
        <w:t xml:space="preserve">• 'Frizz control' — Cosmetic claim ✓ (well-established cosmetic claim category)</w:t>
      </w:r>
    </w:p>
    <w:p>
      <w:pPr>
        <w:spacing w:after="80"/>
      </w:pPr>
      <w:r>
        <w:t xml:space="preserve">Claims to Avoid (Drug Claim Triggers):</w:t>
      </w:r>
    </w:p>
    <w:p>
      <w:pPr>
        <w:pStyle w:val="ListParagraph"/>
        <w:numPr>
          <w:ilvl w:val="0"/>
          <w:numId w:val="1"/>
        </w:numPr>
        <w:spacing w:after="80"/>
      </w:pPr>
      <w:r>
        <w:t xml:space="preserve">• References to treating, curing, or preventing a disease or condition</w:t>
      </w:r>
    </w:p>
    <w:p>
      <w:pPr>
        <w:pStyle w:val="ListParagraph"/>
        <w:numPr>
          <w:ilvl w:val="0"/>
          <w:numId w:val="1"/>
        </w:numPr>
        <w:spacing w:after="80"/>
      </w:pPr>
      <w:r>
        <w:t xml:space="preserve">• Claims implying action on scalp biology or follicle physiology in a therapeutic context</w:t>
      </w:r>
    </w:p>
    <w:p>
      <w:pPr>
        <w:pStyle w:val="ListParagraph"/>
        <w:numPr>
          <w:ilvl w:val="0"/>
          <w:numId w:val="1"/>
        </w:numPr>
        <w:spacing w:after="80"/>
      </w:pPr>
      <w:r>
        <w:t xml:space="preserve">• 'Restores bonds at the molecular level' — use with caution; may require legal/regulatory review depending on framing</w:t>
      </w:r>
    </w:p>
    <w:p>
      <w:pPr>
        <w:spacing w:after="80"/>
      </w:pPr>
      <w:r>
        <w:t xml:space="preserve">Recommendation: All final claim language should be reviewed by regulatory affairs and legal counsel prior to use on packaging or marketing materials.</w:t>
      </w:r>
    </w:p>
    <w:p>
      <w:pPr>
        <w:pStyle w:val="Heading2"/>
        <w:spacing w:after="120" w:before="300"/>
      </w:pPr>
      <w:r>
        <w:t xml:space="preserve">Recommended Next Steps — Regulatory</w:t>
      </w:r>
    </w:p>
    <w:p>
      <w:pPr>
        <w:spacing w:after="80"/>
      </w:pPr>
      <w:r>
        <w:t xml:space="preserve">1. Initiate FDA facility registration and product listing process under MoCRA</w:t>
      </w:r>
    </w:p>
    <w:p>
      <w:pPr>
        <w:spacing w:after="80"/>
      </w:pPr>
      <w:r>
        <w:t xml:space="preserve">2. Prepare Health Canada Cosmetic Notification for both SKUs</w:t>
      </w:r>
    </w:p>
    <w:p>
      <w:pPr>
        <w:spacing w:after="80"/>
      </w:pPr>
      <w:r>
        <w:t xml:space="preserve">3. Conduct Hotlist review of final formula INCI lists</w:t>
      </w:r>
    </w:p>
    <w:p>
      <w:pPr>
        <w:spacing w:after="80"/>
      </w:pPr>
      <w:r>
        <w:t xml:space="preserve">4. Commission bilingual label copy translation and review</w:t>
      </w:r>
    </w:p>
    <w:p>
      <w:pPr>
        <w:spacing w:after="80"/>
      </w:pPr>
      <w:r>
        <w:t xml:space="preserve">5. Establish safety substantiation file for both SKUs</w:t>
      </w:r>
    </w:p>
    <w:p>
      <w:pPr>
        <w:spacing w:after="80"/>
      </w:pPr>
      <w:r>
        <w:t xml:space="preserve">6. Confirm claim language with regulatory and legal review</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p>
      <w:pPr>
        <w:pStyle w:val="Heading1"/>
        <w:pBdr>
          <w:bottom w:val="single" w:color="CCCCCC" w:sz="1" w:space="4"/>
        </w:pBdr>
        <w:spacing w:after="200" w:before="400"/>
      </w:pPr>
      <w:r>
        <w:t xml:space="preserve">Sales Handoff &amp; Account Setup Checklist — Revive</w:t>
      </w:r>
    </w:p>
    <w:p>
      <w:pPr>
        <w:pStyle w:val="Heading2"/>
        <w:spacing w:after="120" w:before="300"/>
      </w:pPr>
      <w:r>
        <w:t xml:space="preserve">Purpose</w:t>
      </w:r>
    </w:p>
    <w:p>
      <w:pPr>
        <w:spacing w:after="80"/>
      </w:pPr>
      <w:r>
        <w:t xml:space="preserve">This checklist is designed to ensure all critical information is captured and actions are assigned before the Revive project is transitioned from Sales to the Project Management and Formulation teams. Complete all items prior to project kick-off.</w:t>
      </w:r>
    </w:p>
    <w:p>
      <w:pPr>
        <w:pStyle w:val="Heading2"/>
        <w:spacing w:after="120" w:before="300"/>
      </w:pPr>
      <w:r>
        <w:t xml:space="preserve">Client Information</w:t>
      </w:r>
    </w:p>
    <w:p>
      <w:pPr>
        <w:pStyle w:val="ListParagraph"/>
        <w:numPr>
          <w:ilvl w:val="0"/>
          <w:numId w:val="1"/>
        </w:numPr>
        <w:spacing w:after="80"/>
      </w:pPr>
      <w:r>
        <w:t xml:space="preserve">• Brand Name: Revive</w:t>
      </w:r>
    </w:p>
    <w:p>
      <w:pPr>
        <w:pStyle w:val="ListParagraph"/>
        <w:numPr>
          <w:ilvl w:val="0"/>
          <w:numId w:val="1"/>
        </w:numPr>
        <w:spacing w:after="80"/>
      </w:pPr>
      <w:r>
        <w:t xml:space="preserve">• Client Contact Name: [To be confirmed]</w:t>
      </w:r>
    </w:p>
    <w:p>
      <w:pPr>
        <w:pStyle w:val="ListParagraph"/>
        <w:numPr>
          <w:ilvl w:val="0"/>
          <w:numId w:val="1"/>
        </w:numPr>
        <w:spacing w:after="80"/>
      </w:pPr>
      <w:r>
        <w:t xml:space="preserve">• Client Contact Title: [To be confirmed]</w:t>
      </w:r>
    </w:p>
    <w:p>
      <w:pPr>
        <w:pStyle w:val="ListParagraph"/>
        <w:numPr>
          <w:ilvl w:val="0"/>
          <w:numId w:val="1"/>
        </w:numPr>
        <w:spacing w:after="80"/>
      </w:pPr>
      <w:r>
        <w:t xml:space="preserve">• Client Email: [To be confirmed]</w:t>
      </w:r>
    </w:p>
    <w:p>
      <w:pPr>
        <w:pStyle w:val="ListParagraph"/>
        <w:numPr>
          <w:ilvl w:val="0"/>
          <w:numId w:val="1"/>
        </w:numPr>
        <w:spacing w:after="80"/>
      </w:pPr>
      <w:r>
        <w:t xml:space="preserve">• Client Phone: [To be confirmed]</w:t>
      </w:r>
    </w:p>
    <w:p>
      <w:pPr>
        <w:pStyle w:val="ListParagraph"/>
        <w:numPr>
          <w:ilvl w:val="0"/>
          <w:numId w:val="1"/>
        </w:numPr>
        <w:spacing w:after="80"/>
      </w:pPr>
      <w:r>
        <w:t xml:space="preserve">• Billing Address: [To be confirmed]</w:t>
      </w:r>
    </w:p>
    <w:p>
      <w:pPr>
        <w:pStyle w:val="ListParagraph"/>
        <w:numPr>
          <w:ilvl w:val="0"/>
          <w:numId w:val="1"/>
        </w:numPr>
        <w:spacing w:after="80"/>
      </w:pPr>
      <w:r>
        <w:t xml:space="preserve">• Accounts Payable Contact: [To be confirmed]</w:t>
      </w:r>
    </w:p>
    <w:p>
      <w:pPr>
        <w:pStyle w:val="ListParagraph"/>
        <w:numPr>
          <w:ilvl w:val="0"/>
          <w:numId w:val="1"/>
        </w:numPr>
        <w:spacing w:after="80"/>
      </w:pPr>
      <w:r>
        <w:t xml:space="preserve">• Legal Entity Name (for contracts): [To be confirmed]</w:t>
      </w:r>
    </w:p>
    <w:p>
      <w:pPr>
        <w:pStyle w:val="Heading2"/>
        <w:spacing w:after="120" w:before="300"/>
      </w:pPr>
      <w:r>
        <w:t xml:space="preserve">Project Scope Confirmation</w:t>
      </w:r>
    </w:p>
    <w:p>
      <w:pPr>
        <w:pStyle w:val="ListParagraph"/>
        <w:numPr>
          <w:ilvl w:val="0"/>
          <w:numId w:val="1"/>
        </w:numPr>
        <w:spacing w:after="80"/>
      </w:pPr>
      <w:r>
        <w:t xml:space="preserve">• Number of SKUs: 2 (Bond-Repair Shampoo + Bond-Repair Conditioner) ✓</w:t>
      </w:r>
    </w:p>
    <w:p>
      <w:pPr>
        <w:pStyle w:val="ListParagraph"/>
        <w:numPr>
          <w:ilvl w:val="0"/>
          <w:numId w:val="1"/>
        </w:numPr>
        <w:spacing w:after="80"/>
      </w:pPr>
      <w:r>
        <w:t xml:space="preserve">• Product Type: Rinse-off haircare (shampoo and conditioner) ✓</w:t>
      </w:r>
    </w:p>
    <w:p>
      <w:pPr>
        <w:pStyle w:val="ListParagraph"/>
        <w:numPr>
          <w:ilvl w:val="0"/>
          <w:numId w:val="1"/>
        </w:numPr>
        <w:spacing w:after="80"/>
      </w:pPr>
      <w:r>
        <w:t xml:space="preserve">• Target Claims Confirmed: Bond repair, breakage reduction, frizz control ✓</w:t>
      </w:r>
    </w:p>
    <w:p>
      <w:pPr>
        <w:pStyle w:val="ListParagraph"/>
        <w:numPr>
          <w:ilvl w:val="0"/>
          <w:numId w:val="1"/>
        </w:numPr>
        <w:spacing w:after="80"/>
      </w:pPr>
      <w:r>
        <w:t xml:space="preserve">• Drug Claims: None ✓</w:t>
      </w:r>
    </w:p>
    <w:p>
      <w:pPr>
        <w:pStyle w:val="ListParagraph"/>
        <w:numPr>
          <w:ilvl w:val="0"/>
          <w:numId w:val="1"/>
        </w:numPr>
        <w:spacing w:after="80"/>
      </w:pPr>
      <w:r>
        <w:t xml:space="preserve">• Launch Markets: US and Canada ✓</w:t>
      </w:r>
    </w:p>
    <w:p>
      <w:pPr>
        <w:pStyle w:val="ListParagraph"/>
        <w:numPr>
          <w:ilvl w:val="0"/>
          <w:numId w:val="1"/>
        </w:numPr>
        <w:spacing w:after="80"/>
      </w:pPr>
      <w:r>
        <w:t xml:space="preserve">• Launch Volume: 5,000 units per SKU ✓</w:t>
      </w:r>
    </w:p>
    <w:p>
      <w:pPr>
        <w:pStyle w:val="ListParagraph"/>
        <w:numPr>
          <w:ilvl w:val="0"/>
          <w:numId w:val="1"/>
        </w:numPr>
        <w:spacing w:after="80"/>
      </w:pPr>
      <w:r>
        <w:t xml:space="preserve">• Scale Target: 25,000 units per SKU within 18 months ✓</w:t>
      </w:r>
    </w:p>
    <w:p>
      <w:pPr>
        <w:pStyle w:val="ListParagraph"/>
        <w:numPr>
          <w:ilvl w:val="0"/>
          <w:numId w:val="1"/>
        </w:numPr>
        <w:spacing w:after="80"/>
      </w:pPr>
      <w:r>
        <w:t xml:space="preserve">• Retail Pricing: Shampoo $28 / Conditioner $32 ✓</w:t>
      </w:r>
    </w:p>
    <w:p>
      <w:pPr>
        <w:pStyle w:val="ListParagraph"/>
        <w:numPr>
          <w:ilvl w:val="0"/>
          <w:numId w:val="1"/>
        </w:numPr>
        <w:spacing w:after="80"/>
      </w:pPr>
      <w:r>
        <w:t xml:space="preserve">• Fill Size: [To be confirmed]</w:t>
      </w:r>
    </w:p>
    <w:p>
      <w:pPr>
        <w:pStyle w:val="ListParagraph"/>
        <w:numPr>
          <w:ilvl w:val="0"/>
          <w:numId w:val="1"/>
        </w:numPr>
        <w:spacing w:after="80"/>
      </w:pPr>
      <w:r>
        <w:t xml:space="preserve">• Packaging Format/Component: [To be confirmed]</w:t>
      </w:r>
    </w:p>
    <w:p>
      <w:pPr>
        <w:pStyle w:val="ListParagraph"/>
        <w:numPr>
          <w:ilvl w:val="0"/>
          <w:numId w:val="1"/>
        </w:numPr>
        <w:spacing w:after="80"/>
      </w:pPr>
      <w:r>
        <w:t xml:space="preserve">• Fragrance Brief: [To be confirmed]</w:t>
      </w:r>
    </w:p>
    <w:p>
      <w:pPr>
        <w:pStyle w:val="ListParagraph"/>
        <w:numPr>
          <w:ilvl w:val="0"/>
          <w:numId w:val="1"/>
        </w:numPr>
        <w:spacing w:after="80"/>
      </w:pPr>
      <w:r>
        <w:t xml:space="preserve">• Formula Brief / Active Preferences: [To be confirmed]</w:t>
      </w:r>
    </w:p>
    <w:p>
      <w:pPr>
        <w:pStyle w:val="ListParagraph"/>
        <w:numPr>
          <w:ilvl w:val="0"/>
          <w:numId w:val="1"/>
        </w:numPr>
        <w:spacing w:after="80"/>
      </w:pPr>
      <w:r>
        <w:t xml:space="preserve">• Reference Benchmarks / Competitor Products to Beat: [To be confirmed]</w:t>
      </w:r>
    </w:p>
    <w:p>
      <w:pPr>
        <w:pStyle w:val="Heading2"/>
        <w:spacing w:after="120" w:before="300"/>
      </w:pPr>
      <w:r>
        <w:t xml:space="preserve">Commercial &amp; Legal</w:t>
      </w:r>
    </w:p>
    <w:p>
      <w:pPr>
        <w:pStyle w:val="ListParagraph"/>
        <w:numPr>
          <w:ilvl w:val="0"/>
          <w:numId w:val="1"/>
        </w:numPr>
        <w:spacing w:after="80"/>
      </w:pPr>
      <w:r>
        <w:t xml:space="preserve">• Development Agreement executed: [To be confirmed]</w:t>
      </w:r>
    </w:p>
    <w:p>
      <w:pPr>
        <w:pStyle w:val="ListParagraph"/>
        <w:numPr>
          <w:ilvl w:val="0"/>
          <w:numId w:val="1"/>
        </w:numPr>
        <w:spacing w:after="80"/>
      </w:pPr>
      <w:r>
        <w:t xml:space="preserve">• NDA / Confidentiality Agreement in place: [To be confirmed]</w:t>
      </w:r>
    </w:p>
    <w:p>
      <w:pPr>
        <w:pStyle w:val="ListParagraph"/>
        <w:numPr>
          <w:ilvl w:val="0"/>
          <w:numId w:val="1"/>
        </w:numPr>
        <w:spacing w:after="80"/>
      </w:pPr>
      <w:r>
        <w:t xml:space="preserve">• Payment terms agreed: [To be confirmed]</w:t>
      </w:r>
    </w:p>
    <w:p>
      <w:pPr>
        <w:pStyle w:val="ListParagraph"/>
        <w:numPr>
          <w:ilvl w:val="0"/>
          <w:numId w:val="1"/>
        </w:numPr>
        <w:spacing w:after="80"/>
      </w:pPr>
      <w:r>
        <w:t xml:space="preserve">• Purchase Order received for development phase: [To be confirmed]</w:t>
      </w:r>
    </w:p>
    <w:p>
      <w:pPr>
        <w:pStyle w:val="ListParagraph"/>
        <w:numPr>
          <w:ilvl w:val="0"/>
          <w:numId w:val="1"/>
        </w:numPr>
        <w:spacing w:after="80"/>
      </w:pPr>
      <w:r>
        <w:t xml:space="preserve">• IP ownership clauses reviewed: [To be confirmed]</w:t>
      </w:r>
    </w:p>
    <w:p>
      <w:pPr>
        <w:pStyle w:val="Heading2"/>
        <w:spacing w:after="120" w:before="300"/>
      </w:pPr>
      <w:r>
        <w:t xml:space="preserve">Internal Team Assignments</w:t>
      </w:r>
    </w:p>
    <w:p>
      <w:pPr>
        <w:pStyle w:val="ListParagraph"/>
        <w:numPr>
          <w:ilvl w:val="0"/>
          <w:numId w:val="1"/>
        </w:numPr>
        <w:spacing w:after="80"/>
      </w:pPr>
      <w:r>
        <w:t xml:space="preserve">• Account Manager (Sales): [To be confirmed]</w:t>
      </w:r>
    </w:p>
    <w:p>
      <w:pPr>
        <w:pStyle w:val="ListParagraph"/>
        <w:numPr>
          <w:ilvl w:val="0"/>
          <w:numId w:val="1"/>
        </w:numPr>
        <w:spacing w:after="80"/>
      </w:pPr>
      <w:r>
        <w:t xml:space="preserve">• Project Manager: [To be confirmed]</w:t>
      </w:r>
    </w:p>
    <w:p>
      <w:pPr>
        <w:pStyle w:val="ListParagraph"/>
        <w:numPr>
          <w:ilvl w:val="0"/>
          <w:numId w:val="1"/>
        </w:numPr>
        <w:spacing w:after="80"/>
      </w:pPr>
      <w:r>
        <w:t xml:space="preserve">• Lead Formulator (Hair): [To be confirmed]</w:t>
      </w:r>
    </w:p>
    <w:p>
      <w:pPr>
        <w:pStyle w:val="ListParagraph"/>
        <w:numPr>
          <w:ilvl w:val="0"/>
          <w:numId w:val="1"/>
        </w:numPr>
        <w:spacing w:after="80"/>
      </w:pPr>
      <w:r>
        <w:t xml:space="preserve">• Regulatory Lead (US + Canada): [To be confirmed]</w:t>
      </w:r>
    </w:p>
    <w:p>
      <w:pPr>
        <w:pStyle w:val="ListParagraph"/>
        <w:numPr>
          <w:ilvl w:val="0"/>
          <w:numId w:val="1"/>
        </w:numPr>
        <w:spacing w:after="80"/>
      </w:pPr>
      <w:r>
        <w:t xml:space="preserve">• Packaging Engineer: [To be confirmed]</w:t>
      </w:r>
    </w:p>
    <w:p>
      <w:pPr>
        <w:pStyle w:val="ListParagraph"/>
        <w:numPr>
          <w:ilvl w:val="0"/>
          <w:numId w:val="1"/>
        </w:numPr>
        <w:spacing w:after="80"/>
      </w:pPr>
      <w:r>
        <w:t xml:space="preserve">• Quality Assurance Lead: [To be confirmed]</w:t>
      </w:r>
    </w:p>
    <w:p>
      <w:pPr>
        <w:pStyle w:val="Heading2"/>
        <w:spacing w:after="120" w:before="300"/>
      </w:pPr>
      <w:r>
        <w:t xml:space="preserve">Key Dates &amp; Milestones</w:t>
      </w:r>
    </w:p>
    <w:p>
      <w:pPr>
        <w:pStyle w:val="ListParagraph"/>
        <w:numPr>
          <w:ilvl w:val="0"/>
          <w:numId w:val="1"/>
        </w:numPr>
        <w:spacing w:after="80"/>
      </w:pPr>
      <w:r>
        <w:t xml:space="preserve">• Discovery Session Completed: ✓</w:t>
      </w:r>
    </w:p>
    <w:p>
      <w:pPr>
        <w:pStyle w:val="ListParagraph"/>
        <w:numPr>
          <w:ilvl w:val="0"/>
          <w:numId w:val="1"/>
        </w:numPr>
        <w:spacing w:after="80"/>
      </w:pPr>
      <w:r>
        <w:t xml:space="preserve">• Proposal Issued: [Date]</w:t>
      </w:r>
    </w:p>
    <w:p>
      <w:pPr>
        <w:pStyle w:val="ListParagraph"/>
        <w:numPr>
          <w:ilvl w:val="0"/>
          <w:numId w:val="1"/>
        </w:numPr>
        <w:spacing w:after="80"/>
      </w:pPr>
      <w:r>
        <w:t xml:space="preserve">• Proposal Accepted / Project Initiated: [To be confirmed]</w:t>
      </w:r>
    </w:p>
    <w:p>
      <w:pPr>
        <w:pStyle w:val="ListParagraph"/>
        <w:numPr>
          <w:ilvl w:val="0"/>
          <w:numId w:val="1"/>
        </w:numPr>
        <w:spacing w:after="80"/>
      </w:pPr>
      <w:r>
        <w:t xml:space="preserve">• Technical Kick-Off Meeting: [To be confirmed]</w:t>
      </w:r>
    </w:p>
    <w:p>
      <w:pPr>
        <w:pStyle w:val="ListParagraph"/>
        <w:numPr>
          <w:ilvl w:val="0"/>
          <w:numId w:val="1"/>
        </w:numPr>
        <w:spacing w:after="80"/>
      </w:pPr>
      <w:r>
        <w:t xml:space="preserve">• First Sample Target Date: [To be confirmed]</w:t>
      </w:r>
    </w:p>
    <w:p>
      <w:pPr>
        <w:pStyle w:val="ListParagraph"/>
        <w:numPr>
          <w:ilvl w:val="0"/>
          <w:numId w:val="1"/>
        </w:numPr>
        <w:spacing w:after="80"/>
      </w:pPr>
      <w:r>
        <w:t xml:space="preserve">• Target Launch Date (Phase 1): [To be confirmed]</w:t>
      </w:r>
    </w:p>
    <w:p>
      <w:pPr>
        <w:pStyle w:val="ListParagraph"/>
        <w:numPr>
          <w:ilvl w:val="0"/>
          <w:numId w:val="1"/>
        </w:numPr>
        <w:spacing w:after="80"/>
      </w:pPr>
      <w:r>
        <w:t xml:space="preserve">• Scale Production Target Date: [To be confirmed — approx. 18 months from launch]</w:t>
      </w:r>
    </w:p>
    <w:p>
      <w:pPr>
        <w:pStyle w:val="Heading2"/>
        <w:spacing w:after="120" w:before="300"/>
      </w:pPr>
      <w:r>
        <w:t xml:space="preserve">Open Items &amp; Follow-Up Actions</w:t>
      </w:r>
    </w:p>
    <w:p>
      <w:pPr>
        <w:pStyle w:val="ListParagraph"/>
        <w:numPr>
          <w:ilvl w:val="0"/>
          <w:numId w:val="1"/>
        </w:numPr>
        <w:spacing w:after="80"/>
      </w:pPr>
      <w:r>
        <w:t xml:space="preserve">• Confirm fill size and packaging components with client</w:t>
      </w:r>
    </w:p>
    <w:p>
      <w:pPr>
        <w:pStyle w:val="ListParagraph"/>
        <w:numPr>
          <w:ilvl w:val="0"/>
          <w:numId w:val="1"/>
        </w:numPr>
        <w:spacing w:after="80"/>
      </w:pPr>
      <w:r>
        <w:t xml:space="preserve">• Obtain fragrance direction / brief from client</w:t>
      </w:r>
    </w:p>
    <w:p>
      <w:pPr>
        <w:pStyle w:val="ListParagraph"/>
        <w:numPr>
          <w:ilvl w:val="0"/>
          <w:numId w:val="1"/>
        </w:numPr>
        <w:spacing w:after="80"/>
      </w:pPr>
      <w:r>
        <w:t xml:space="preserve">• Confirm formula active technology preferences (e.g., maleic acid, bis-aminopropyl diglycol dimaleate, peptide-based, or proprietary blend)</w:t>
      </w:r>
    </w:p>
    <w:p>
      <w:pPr>
        <w:pStyle w:val="ListParagraph"/>
        <w:numPr>
          <w:ilvl w:val="0"/>
          <w:numId w:val="1"/>
        </w:numPr>
        <w:spacing w:after="80"/>
      </w:pPr>
      <w:r>
        <w:t xml:space="preserve">• Agree on claim substantiation testing approach and budget</w:t>
      </w:r>
    </w:p>
    <w:p>
      <w:pPr>
        <w:pStyle w:val="ListParagraph"/>
        <w:numPr>
          <w:ilvl w:val="0"/>
          <w:numId w:val="1"/>
        </w:numPr>
        <w:spacing w:after="80"/>
      </w:pPr>
      <w:r>
        <w:t xml:space="preserve">• Confirm bilingual (French) copy requirements for Canada labels</w:t>
      </w:r>
    </w:p>
    <w:p>
      <w:pPr>
        <w:pStyle w:val="ListParagraph"/>
        <w:numPr>
          <w:ilvl w:val="0"/>
          <w:numId w:val="1"/>
        </w:numPr>
        <w:spacing w:after="80"/>
      </w:pPr>
      <w:r>
        <w:t xml:space="preserve">• Execute development agreement and receive initial PO</w:t>
      </w:r>
    </w:p>
    <w:p>
      <w:pPr>
        <w:pStyle w:val="ListParagraph"/>
        <w:numPr>
          <w:ilvl w:val="0"/>
          <w:numId w:val="1"/>
        </w:numPr>
        <w:spacing w:after="80"/>
      </w:pPr>
      <w:r>
        <w:t xml:space="preserve">• Schedule technical kick-off call</w:t>
      </w:r>
    </w:p>
    <w:p>
      <w:pPr>
        <w:pStyle w:val="Heading2"/>
        <w:spacing w:after="120" w:before="300"/>
      </w:pPr>
      <w:r>
        <w:t xml:space="preserve">Regulatory Disclaimer</w:t>
      </w:r>
    </w:p>
    <w:p>
      <w:pPr>
        <w:spacing w:after="80"/>
      </w:pPr>
      <w:r>
        <w:t xml:space="preserve">The regulatory information in this document is provided for guidance only. Please verify all regulatory requirements with your qualified regulatory affairs team before taking action.</w:t>
      </w:r>
    </w:p>
    <w:p>
      <w:pPr>
        <w:pageBreakBefore/>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Haircare Discovery Documents</dc:title>
  <dc:creator>CosmoLab AI</dc:creator>
  <cp:lastModifiedBy>Un-named</cp:lastModifiedBy>
  <cp:revision>1</cp:revision>
  <dcterms:created xsi:type="dcterms:W3CDTF">2026-03-21T12:42:36.590Z</dcterms:created>
  <dcterms:modified xsi:type="dcterms:W3CDTF">2026-03-21T12:42:36.590Z</dcterms:modified>
</cp:coreProperties>
</file>

<file path=docProps/custom.xml><?xml version="1.0" encoding="utf-8"?>
<Properties xmlns="http://schemas.openxmlformats.org/officeDocument/2006/custom-properties" xmlns:vt="http://schemas.openxmlformats.org/officeDocument/2006/docPropsVTypes"/>
</file>