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CCCCCC" w:sz="1" w:space="4"/>
        </w:pBdr>
        <w:spacing w:after="200" w:before="400"/>
      </w:pPr>
      <w:r>
        <w:t xml:space="preserve">Sales Opportunity Brief — ClearMD 2.5% Benzoyl Peroxide Acne Spot Treatment</w:t>
      </w:r>
    </w:p>
    <w:p>
      <w:pPr>
        <w:pStyle w:val="Heading2"/>
        <w:spacing w:after="120" w:before="300"/>
      </w:pPr>
      <w:r>
        <w:t xml:space="preserve">Opportunity Overview</w:t>
      </w:r>
    </w:p>
    <w:p>
      <w:pPr>
        <w:spacing w:after="80"/>
      </w:pPr>
      <w:r>
        <w:t xml:space="preserve">Client: ClearMD (Dermatology Brand)</w:t>
      </w:r>
    </w:p>
    <w:p>
      <w:pPr>
        <w:spacing w:after="80"/>
      </w:pPr>
      <w:r>
        <w:t xml:space="preserve">Product: 2.5% Benzoyl Peroxide (BPO) Acne Spot Treatment</w:t>
      </w:r>
    </w:p>
    <w:p>
      <w:pPr>
        <w:spacing w:after="80"/>
      </w:pPr>
      <w:r>
        <w:t xml:space="preserve">Product Category: OTC Drug — Topical Acne Treatment</w:t>
      </w:r>
    </w:p>
    <w:p>
      <w:pPr>
        <w:spacing w:after="80"/>
      </w:pPr>
      <w:r>
        <w:t xml:space="preserve">Target Market: United States (Mass Market / Drug Store)</w:t>
      </w:r>
    </w:p>
    <w:p>
      <w:pPr>
        <w:spacing w:after="80"/>
      </w:pPr>
      <w:r>
        <w:t xml:space="preserve">Regulatory Pathway: FDA OTC Acne Monograph — 21 CFR Part 333</w:t>
      </w:r>
    </w:p>
    <w:p>
      <w:pPr>
        <w:spacing w:after="80"/>
      </w:pPr>
      <w:r>
        <w:t xml:space="preserve">Active Ingredient: Benzoyl Peroxide 2.5% (within monograph-permitted range of 2.5%–10%)</w:t>
      </w:r>
    </w:p>
    <w:p>
      <w:pPr>
        <w:pStyle w:val="Heading2"/>
        <w:spacing w:after="120" w:before="300"/>
      </w:pPr>
      <w:r>
        <w:t xml:space="preserve">Target Consumer Profile</w:t>
      </w:r>
    </w:p>
    <w:p>
      <w:pPr>
        <w:spacing w:after="80"/>
      </w:pPr>
      <w:r>
        <w:t xml:space="preserve">Primary Demographic: Teens and adults aged 15–35 with acne-prone skin</w:t>
      </w:r>
    </w:p>
    <w:p>
      <w:pPr>
        <w:spacing w:after="80"/>
      </w:pPr>
      <w:r>
        <w:t xml:space="preserve">Channel: Mass market retail, drug store chains (e.g., CVS, Walgreens, Rite Aid, Walmart, Target)</w:t>
      </w:r>
    </w:p>
    <w:p>
      <w:pPr>
        <w:spacing w:after="80"/>
      </w:pPr>
      <w:r>
        <w:t xml:space="preserve">Retail Price Point: $18–$22 USD</w:t>
      </w:r>
    </w:p>
    <w:p>
      <w:pPr>
        <w:spacing w:after="80"/>
      </w:pPr>
      <w:r>
        <w:t xml:space="preserve">Consumer Need: Accessible, effective, dermatology-credible spot treatment at a competitive mass-market price</w:t>
      </w:r>
    </w:p>
    <w:p>
      <w:pPr>
        <w:pStyle w:val="Heading2"/>
        <w:spacing w:after="120" w:before="300"/>
      </w:pPr>
      <w:r>
        <w:t xml:space="preserve">Volume &amp; Commercial Projections</w:t>
      </w:r>
    </w:p>
    <w:p>
      <w:pPr>
        <w:spacing w:after="80"/>
      </w:pPr>
      <w:r>
        <w:t xml:space="preserve">Initial Production Run: 10,000 units</w:t>
      </w:r>
    </w:p>
    <w:p>
      <w:pPr>
        <w:spacing w:after="80"/>
      </w:pPr>
      <w:r>
        <w:t xml:space="preserve">Projected Scale (Month 12): 50,000 units</w:t>
      </w:r>
    </w:p>
    <w:p>
      <w:pPr>
        <w:spacing w:after="80"/>
      </w:pPr>
      <w:r>
        <w:t xml:space="preserve">Growth Rate Implied: 5x within first 12 months</w:t>
      </w:r>
    </w:p>
    <w:p>
      <w:pPr>
        <w:spacing w:after="80"/>
      </w:pPr>
      <w:r>
        <w:t xml:space="preserve">Note: Pricing strategy and volume commitments to be confirmed with client during commercial negotiation.</w:t>
      </w:r>
    </w:p>
    <w:p>
      <w:pPr>
        <w:pStyle w:val="Heading2"/>
        <w:spacing w:after="120" w:before="300"/>
      </w:pPr>
      <w:r>
        <w:t xml:space="preserve">Key Sales Talking Points</w:t>
      </w:r>
    </w:p>
    <w:p>
      <w:pPr>
        <w:pStyle w:val="ListParagraph"/>
        <w:numPr>
          <w:ilvl w:val="0"/>
          <w:numId w:val="1"/>
        </w:numPr>
        <w:spacing w:after="80"/>
      </w:pPr>
      <w:r>
        <w:t xml:space="preserve">• Monograph-compliant 2.5% BPO formulation — streamlined regulatory path, no NDA required</w:t>
      </w:r>
    </w:p>
    <w:p>
      <w:pPr>
        <w:pStyle w:val="ListParagraph"/>
        <w:numPr>
          <w:ilvl w:val="0"/>
          <w:numId w:val="1"/>
        </w:numPr>
        <w:spacing w:after="80"/>
      </w:pPr>
      <w:r>
        <w:t xml:space="preserve">• Fast path to market via 21 CFR 333 OTC acne monograph compliance</w:t>
      </w:r>
    </w:p>
    <w:p>
      <w:pPr>
        <w:pStyle w:val="ListParagraph"/>
        <w:numPr>
          <w:ilvl w:val="0"/>
          <w:numId w:val="1"/>
        </w:numPr>
        <w:spacing w:after="80"/>
      </w:pPr>
      <w:r>
        <w:t xml:space="preserve">• Proven active ingredient with strong consumer recognition and clinical credibility</w:t>
      </w:r>
    </w:p>
    <w:p>
      <w:pPr>
        <w:pStyle w:val="ListParagraph"/>
        <w:numPr>
          <w:ilvl w:val="0"/>
          <w:numId w:val="1"/>
        </w:numPr>
        <w:spacing w:after="80"/>
      </w:pPr>
      <w:r>
        <w:t xml:space="preserve">• Mass market positioning at $18–$22 supports broad retail placement and consumer accessibility</w:t>
      </w:r>
    </w:p>
    <w:p>
      <w:pPr>
        <w:pStyle w:val="ListParagraph"/>
        <w:numPr>
          <w:ilvl w:val="0"/>
          <w:numId w:val="1"/>
        </w:numPr>
        <w:spacing w:after="80"/>
      </w:pPr>
      <w:r>
        <w:t xml:space="preserve">• ClearMD's dermatology branding adds trust and premium perception within the mass channel</w:t>
      </w:r>
    </w:p>
    <w:p>
      <w:pPr>
        <w:pStyle w:val="ListParagraph"/>
        <w:numPr>
          <w:ilvl w:val="0"/>
          <w:numId w:val="1"/>
        </w:numPr>
        <w:spacing w:after="80"/>
      </w:pPr>
      <w:r>
        <w:t xml:space="preserve">• Scalable production model: initial 10K units with clear 12-month ramp to 50K units</w:t>
      </w:r>
    </w:p>
    <w:p>
      <w:pPr>
        <w:pStyle w:val="ListParagraph"/>
        <w:numPr>
          <w:ilvl w:val="0"/>
          <w:numId w:val="1"/>
        </w:numPr>
        <w:spacing w:after="80"/>
      </w:pPr>
      <w:r>
        <w:t xml:space="preserve">• US-only launch reduces regulatory complexity for initial go-to-market</w:t>
      </w:r>
    </w:p>
    <w:p>
      <w:pPr>
        <w:pStyle w:val="Heading2"/>
        <w:spacing w:after="120" w:before="300"/>
      </w:pPr>
      <w:r>
        <w:t xml:space="preserve">Competitive Landscape Notes</w:t>
      </w:r>
    </w:p>
    <w:p>
      <w:pPr>
        <w:pStyle w:val="ListParagraph"/>
        <w:numPr>
          <w:ilvl w:val="0"/>
          <w:numId w:val="1"/>
        </w:numPr>
        <w:spacing w:after="80"/>
      </w:pPr>
      <w:r>
        <w:t xml:space="preserve">• Category is well-established (Proactiv, PanOxyl, Clean &amp; Clear) — differentiation through brand positioning, dermatology credibility, and formulation elegance will be key</w:t>
      </w:r>
    </w:p>
    <w:p>
      <w:pPr>
        <w:pStyle w:val="ListParagraph"/>
        <w:numPr>
          <w:ilvl w:val="0"/>
          <w:numId w:val="1"/>
        </w:numPr>
        <w:spacing w:after="80"/>
      </w:pPr>
      <w:r>
        <w:t xml:space="preserve">• 2.5% BPO is the lowest concentration in the monograph range, positioning this product as gentle yet effective — a strong consumer message for the 15–35 demographic</w:t>
      </w:r>
    </w:p>
    <w:p>
      <w:pPr>
        <w:pStyle w:val="ListParagraph"/>
        <w:numPr>
          <w:ilvl w:val="0"/>
          <w:numId w:val="1"/>
        </w:numPr>
        <w:spacing w:after="80"/>
      </w:pPr>
      <w:r>
        <w:t xml:space="preserve">• $18–$22 price point sits above mass-market entry-level acne products, requiring strong brand story and packaging quality</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p>
      <w:pPr>
        <w:pStyle w:val="Heading1"/>
        <w:pBdr>
          <w:bottom w:val="single" w:color="CCCCCC" w:sz="1" w:space="4"/>
        </w:pBdr>
        <w:spacing w:after="200" w:before="400"/>
      </w:pPr>
      <w:r>
        <w:t xml:space="preserve">Product Specification Summary — ClearMD 2.5% BPO Acne Spot Treatment</w:t>
      </w:r>
    </w:p>
    <w:p>
      <w:pPr>
        <w:pStyle w:val="Heading2"/>
        <w:spacing w:after="120" w:before="300"/>
      </w:pPr>
      <w:r>
        <w:t xml:space="preserve">Product Identification</w:t>
      </w:r>
    </w:p>
    <w:p>
      <w:pPr>
        <w:spacing w:after="80"/>
      </w:pPr>
      <w:r>
        <w:t xml:space="preserve">Brand Name: ClearMD</w:t>
      </w:r>
    </w:p>
    <w:p>
      <w:pPr>
        <w:spacing w:after="80"/>
      </w:pPr>
      <w:r>
        <w:t xml:space="preserve">Product Type: OTC Drug — Topical Acne Spot Treatment</w:t>
      </w:r>
    </w:p>
    <w:p>
      <w:pPr>
        <w:spacing w:after="80"/>
      </w:pPr>
      <w:r>
        <w:t xml:space="preserve">Active Ingredient: Benzoyl Peroxide 2.5%</w:t>
      </w:r>
    </w:p>
    <w:p>
      <w:pPr>
        <w:spacing w:after="80"/>
      </w:pPr>
      <w:r>
        <w:t xml:space="preserve">Drug Classification: OTC Monograph Drug (Non-prescription)</w:t>
      </w:r>
    </w:p>
    <w:p>
      <w:pPr>
        <w:spacing w:after="80"/>
      </w:pPr>
      <w:r>
        <w:t xml:space="preserve">Regulatory Framework: 21 CFR Part 333 — Topical Acne Drug Products for OTC Human Use</w:t>
      </w:r>
    </w:p>
    <w:p>
      <w:pPr>
        <w:pStyle w:val="Heading2"/>
        <w:spacing w:after="120" w:before="300"/>
      </w:pPr>
      <w:r>
        <w:t xml:space="preserve">Formulation Parameters</w:t>
      </w:r>
    </w:p>
    <w:p>
      <w:pPr>
        <w:spacing w:after="80"/>
      </w:pPr>
      <w:r>
        <w:t xml:space="preserve">Active Ingredient: Benzoyl Peroxide 2.5% w/w</w:t>
      </w:r>
    </w:p>
    <w:p>
      <w:pPr>
        <w:spacing w:after="80"/>
      </w:pPr>
      <w:r>
        <w:t xml:space="preserve">Concentration Compliance: Within FDA monograph permitted range (2.5%–10% BPO)</w:t>
      </w:r>
    </w:p>
    <w:p>
      <w:pPr>
        <w:spacing w:after="80"/>
      </w:pPr>
      <w:r>
        <w:t xml:space="preserve">Dosage Form: [To be confirmed — e.g., gel, cream, lotion]</w:t>
      </w:r>
    </w:p>
    <w:p>
      <w:pPr>
        <w:spacing w:after="80"/>
      </w:pPr>
      <w:r>
        <w:t xml:space="preserve">Product Format: Spot treatment (targeted application)</w:t>
      </w:r>
    </w:p>
    <w:p>
      <w:pPr>
        <w:spacing w:after="80"/>
      </w:pPr>
      <w:r>
        <w:t xml:space="preserve">Inactive Ingredients / Excipients: [To be confirmed]</w:t>
      </w:r>
    </w:p>
    <w:p>
      <w:pPr>
        <w:spacing w:after="80"/>
      </w:pPr>
      <w:r>
        <w:t xml:space="preserve">Fragrance: [To be confirmed]</w:t>
      </w:r>
    </w:p>
    <w:p>
      <w:pPr>
        <w:spacing w:after="80"/>
      </w:pPr>
      <w:r>
        <w:t xml:space="preserve">Preservative System: [To be confirmed]</w:t>
      </w:r>
    </w:p>
    <w:p>
      <w:pPr>
        <w:spacing w:after="80"/>
      </w:pPr>
      <w:r>
        <w:t xml:space="preserve">Skin Feel / Texture Profile: [To be confirmed]</w:t>
      </w:r>
    </w:p>
    <w:p>
      <w:pPr>
        <w:pStyle w:val="Heading2"/>
        <w:spacing w:after="120" w:before="300"/>
      </w:pPr>
      <w:r>
        <w:t xml:space="preserve">Packaging &amp; Presentation</w:t>
      </w:r>
    </w:p>
    <w:p>
      <w:pPr>
        <w:spacing w:after="80"/>
      </w:pPr>
      <w:r>
        <w:t xml:space="preserve">Pack Size / Fill Weight: [To be confirmed]</w:t>
      </w:r>
    </w:p>
    <w:p>
      <w:pPr>
        <w:spacing w:after="80"/>
      </w:pPr>
      <w:r>
        <w:t xml:space="preserve">Primary Packaging Material: [To be confirmed — e.g., tube, pump bottle]</w:t>
      </w:r>
    </w:p>
    <w:p>
      <w:pPr>
        <w:spacing w:after="80"/>
      </w:pPr>
      <w:r>
        <w:t xml:space="preserve">Secondary Packaging: [To be confirmed — e.g., folding carton]</w:t>
      </w:r>
    </w:p>
    <w:p>
      <w:pPr>
        <w:spacing w:after="80"/>
      </w:pPr>
      <w:r>
        <w:t xml:space="preserve">Label Requirements: Must comply with 21 CFR 333 OTC labeling requirements including Drug Facts panel</w:t>
      </w:r>
    </w:p>
    <w:p>
      <w:pPr>
        <w:spacing w:after="80"/>
      </w:pPr>
      <w:r>
        <w:t xml:space="preserve">Shelf Life Target: [To be confirmed]</w:t>
      </w:r>
    </w:p>
    <w:p>
      <w:pPr>
        <w:spacing w:after="80"/>
      </w:pPr>
      <w:r>
        <w:t xml:space="preserve">Storage Conditions: [To be confirmed]</w:t>
      </w:r>
    </w:p>
    <w:p>
      <w:pPr>
        <w:pStyle w:val="Heading2"/>
        <w:spacing w:after="120" w:before="300"/>
      </w:pPr>
      <w:r>
        <w:t xml:space="preserve">Manufacturing &amp; Quality</w:t>
      </w:r>
    </w:p>
    <w:p>
      <w:pPr>
        <w:spacing w:after="80"/>
      </w:pPr>
      <w:r>
        <w:t xml:space="preserve">Manufacturing Site: [To be confirmed]</w:t>
      </w:r>
    </w:p>
    <w:p>
      <w:pPr>
        <w:spacing w:after="80"/>
      </w:pPr>
      <w:r>
        <w:t xml:space="preserve">cGMP Compliance: Required — FDA 21 CFR Parts 210 &amp; 211</w:t>
      </w:r>
    </w:p>
    <w:p>
      <w:pPr>
        <w:spacing w:after="80"/>
      </w:pPr>
      <w:r>
        <w:t xml:space="preserve">Batch Size (Initial): 10,000 units</w:t>
      </w:r>
    </w:p>
    <w:p>
      <w:pPr>
        <w:spacing w:after="80"/>
      </w:pPr>
      <w:r>
        <w:t xml:space="preserve">Scale-Up Target: 50,000 units within 12 months</w:t>
      </w:r>
    </w:p>
    <w:p>
      <w:pPr>
        <w:spacing w:after="80"/>
      </w:pPr>
      <w:r>
        <w:t xml:space="preserve">Stability Testing Requirements: ICH-aligned stability program required for OTC drug product</w:t>
      </w:r>
    </w:p>
    <w:p>
      <w:pPr>
        <w:spacing w:after="80"/>
      </w:pPr>
      <w:r>
        <w:t xml:space="preserve">Certificate of Analysis (CoA): Required per batch</w:t>
      </w:r>
    </w:p>
    <w:p>
      <w:pPr>
        <w:spacing w:after="80"/>
      </w:pPr>
      <w:r>
        <w:t xml:space="preserve">Product Testing: [To be confirmed — e.g., microbial, assay, pH, viscosity]</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p>
      <w:pPr>
        <w:pStyle w:val="Heading1"/>
        <w:pBdr>
          <w:bottom w:val="single" w:color="CCCCCC" w:sz="1" w:space="4"/>
        </w:pBdr>
        <w:spacing w:after="200" w:before="400"/>
      </w:pPr>
      <w:r>
        <w:t xml:space="preserve">Regulatory Pathway Summary — ClearMD OTC Acne Spot Treatment</w:t>
      </w:r>
    </w:p>
    <w:p>
      <w:pPr>
        <w:pStyle w:val="Heading2"/>
        <w:spacing w:after="120" w:before="300"/>
      </w:pPr>
      <w:r>
        <w:t xml:space="preserve">Regulatory Strategy Overview</w:t>
      </w:r>
    </w:p>
    <w:p>
      <w:pPr>
        <w:spacing w:after="80"/>
      </w:pPr>
      <w:r>
        <w:t xml:space="preserve">ClearMD's 2.5% Benzoyl Peroxide Acne Spot Treatment will be marketed in the United States as an OTC drug product under the FDA OTC Monograph system. This is the standard regulatory pathway for non-prescription topical acne treatments using approved active ingredients at established concentrations.</w:t>
      </w:r>
    </w:p>
    <w:p>
      <w:pPr>
        <w:pStyle w:val="Heading2"/>
        <w:spacing w:after="120" w:before="300"/>
      </w:pPr>
      <w:r>
        <w:t xml:space="preserve">Applicable Monograph</w:t>
      </w:r>
    </w:p>
    <w:p>
      <w:pPr>
        <w:spacing w:after="80"/>
      </w:pPr>
      <w:r>
        <w:t xml:space="preserve">Regulation: 21 CFR Part 333 — Topical Acne Drug Products for OTC Human Use</w:t>
      </w:r>
    </w:p>
    <w:p>
      <w:pPr>
        <w:spacing w:after="80"/>
      </w:pPr>
      <w:r>
        <w:t xml:space="preserve">Active Ingredient: Benzoyl Peroxide</w:t>
      </w:r>
    </w:p>
    <w:p>
      <w:pPr>
        <w:spacing w:after="80"/>
      </w:pPr>
      <w:r>
        <w:t xml:space="preserve">Permitted Concentration Range: 2.5% to 10%</w:t>
      </w:r>
    </w:p>
    <w:p>
      <w:pPr>
        <w:spacing w:after="80"/>
      </w:pPr>
      <w:r>
        <w:t xml:space="preserve">ClearMD Concentration: 2.5% — compliant with the lower bound of the monograph range</w:t>
      </w:r>
    </w:p>
    <w:p>
      <w:pPr>
        <w:spacing w:after="80"/>
      </w:pPr>
      <w:r>
        <w:t xml:space="preserve">Indication (per monograph): For the treatment of acne</w:t>
      </w:r>
    </w:p>
    <w:p>
      <w:pPr>
        <w:spacing w:after="80"/>
      </w:pPr>
      <w:r>
        <w:t xml:space="preserve">Monograph Status: This product does not require an approved New Drug Application (NDA) provided all conditions of the monograph are met</w:t>
      </w:r>
    </w:p>
    <w:p>
      <w:pPr>
        <w:pStyle w:val="Heading2"/>
        <w:spacing w:after="120" w:before="300"/>
      </w:pPr>
      <w:r>
        <w:t xml:space="preserve">Key Regulatory Requirements</w:t>
      </w:r>
    </w:p>
    <w:p>
      <w:pPr>
        <w:pStyle w:val="ListParagraph"/>
        <w:numPr>
          <w:ilvl w:val="0"/>
          <w:numId w:val="1"/>
        </w:numPr>
        <w:spacing w:after="80"/>
      </w:pPr>
      <w:r>
        <w:t xml:space="preserve">• Formulation must use only monograph-permitted active ingredient(s) at specified concentrations</w:t>
      </w:r>
    </w:p>
    <w:p>
      <w:pPr>
        <w:pStyle w:val="ListParagraph"/>
        <w:numPr>
          <w:ilvl w:val="0"/>
          <w:numId w:val="1"/>
        </w:numPr>
        <w:spacing w:after="80"/>
      </w:pPr>
      <w:r>
        <w:t xml:space="preserve">• Product labeling must comply with OTC Drug Facts labeling requirements (21 CFR 201.66)</w:t>
      </w:r>
    </w:p>
    <w:p>
      <w:pPr>
        <w:pStyle w:val="ListParagraph"/>
        <w:numPr>
          <w:ilvl w:val="0"/>
          <w:numId w:val="1"/>
        </w:numPr>
        <w:spacing w:after="80"/>
      </w:pPr>
      <w:r>
        <w:t xml:space="preserve">• Manufacturing must comply with FDA current Good Manufacturing Practice (cGMP) regulations — 21 CFR Parts 210 &amp; 211</w:t>
      </w:r>
    </w:p>
    <w:p>
      <w:pPr>
        <w:pStyle w:val="ListParagraph"/>
        <w:numPr>
          <w:ilvl w:val="0"/>
          <w:numId w:val="1"/>
        </w:numPr>
        <w:spacing w:after="80"/>
      </w:pPr>
      <w:r>
        <w:t xml:space="preserve">• Facility must be registered with the FDA and product listed via the National Drug Code (NDC) system</w:t>
      </w:r>
    </w:p>
    <w:p>
      <w:pPr>
        <w:pStyle w:val="ListParagraph"/>
        <w:numPr>
          <w:ilvl w:val="0"/>
          <w:numId w:val="1"/>
        </w:numPr>
        <w:spacing w:after="80"/>
      </w:pPr>
      <w:r>
        <w:t xml:space="preserve">• Stability data must support labeled shelf life</w:t>
      </w:r>
    </w:p>
    <w:p>
      <w:pPr>
        <w:pStyle w:val="ListParagraph"/>
        <w:numPr>
          <w:ilvl w:val="0"/>
          <w:numId w:val="1"/>
        </w:numPr>
        <w:spacing w:after="80"/>
      </w:pPr>
      <w:r>
        <w:t xml:space="preserve">• No pre-market approval required under the monograph pathway, but full compliance with all monograph conditions is mandatory</w:t>
      </w:r>
    </w:p>
    <w:p>
      <w:pPr>
        <w:pStyle w:val="ListParagraph"/>
        <w:numPr>
          <w:ilvl w:val="0"/>
          <w:numId w:val="1"/>
        </w:numPr>
        <w:spacing w:after="80"/>
      </w:pPr>
      <w:r>
        <w:t xml:space="preserve">• Over-the-Counter Monograph User Fee Act (OMUFA) fees may apply — [To be confirmed with regulatory affairs team]</w:t>
      </w:r>
    </w:p>
    <w:p>
      <w:pPr>
        <w:pStyle w:val="Heading2"/>
        <w:spacing w:after="120" w:before="300"/>
      </w:pPr>
      <w:r>
        <w:t xml:space="preserve">Labeling Requirements Summary</w:t>
      </w:r>
    </w:p>
    <w:p>
      <w:pPr>
        <w:pStyle w:val="ListParagraph"/>
        <w:numPr>
          <w:ilvl w:val="0"/>
          <w:numId w:val="1"/>
        </w:numPr>
        <w:spacing w:after="80"/>
      </w:pPr>
      <w:r>
        <w:t xml:space="preserve">• Drug Facts panel required on all packaging</w:t>
      </w:r>
    </w:p>
    <w:p>
      <w:pPr>
        <w:pStyle w:val="ListParagraph"/>
        <w:numPr>
          <w:ilvl w:val="0"/>
          <w:numId w:val="1"/>
        </w:numPr>
        <w:spacing w:after="80"/>
      </w:pPr>
      <w:r>
        <w:t xml:space="preserve">• Active Ingredient: Benzoyl Peroxide 2.5%</w:t>
      </w:r>
    </w:p>
    <w:p>
      <w:pPr>
        <w:pStyle w:val="ListParagraph"/>
        <w:numPr>
          <w:ilvl w:val="0"/>
          <w:numId w:val="1"/>
        </w:numPr>
        <w:spacing w:after="80"/>
      </w:pPr>
      <w:r>
        <w:t xml:space="preserve">• Purpose: Acne Treatment</w:t>
      </w:r>
    </w:p>
    <w:p>
      <w:pPr>
        <w:pStyle w:val="ListParagraph"/>
        <w:numPr>
          <w:ilvl w:val="0"/>
          <w:numId w:val="1"/>
        </w:numPr>
        <w:spacing w:after="80"/>
      </w:pPr>
      <w:r>
        <w:t xml:space="preserve">• Uses: Must reflect monograph-approved indication language</w:t>
      </w:r>
    </w:p>
    <w:p>
      <w:pPr>
        <w:pStyle w:val="ListParagraph"/>
        <w:numPr>
          <w:ilvl w:val="0"/>
          <w:numId w:val="1"/>
        </w:numPr>
        <w:spacing w:after="80"/>
      </w:pPr>
      <w:r>
        <w:t xml:space="preserve">• Warnings: Must include all required monograph warnings (e.g., skin irritation, keep out of reach of children, flammability if applicable)</w:t>
      </w:r>
    </w:p>
    <w:p>
      <w:pPr>
        <w:pStyle w:val="ListParagraph"/>
        <w:numPr>
          <w:ilvl w:val="0"/>
          <w:numId w:val="1"/>
        </w:numPr>
        <w:spacing w:after="80"/>
      </w:pPr>
      <w:r>
        <w:t xml:space="preserve">• Directions: Per monograph guidance for spot treatment application</w:t>
      </w:r>
    </w:p>
    <w:p>
      <w:pPr>
        <w:pStyle w:val="ListParagraph"/>
        <w:numPr>
          <w:ilvl w:val="0"/>
          <w:numId w:val="1"/>
        </w:numPr>
        <w:spacing w:after="80"/>
      </w:pPr>
      <w:r>
        <w:t xml:space="preserve">• Inactive Ingredients: Must be declared</w:t>
      </w:r>
    </w:p>
    <w:p>
      <w:pPr>
        <w:pStyle w:val="ListParagraph"/>
        <w:numPr>
          <w:ilvl w:val="0"/>
          <w:numId w:val="1"/>
        </w:numPr>
        <w:spacing w:after="80"/>
      </w:pPr>
      <w:r>
        <w:t xml:space="preserve">• Questions / Contact: Manufacturer contact information required</w:t>
      </w:r>
    </w:p>
    <w:p>
      <w:pPr>
        <w:pStyle w:val="Heading2"/>
        <w:spacing w:after="120" w:before="300"/>
      </w:pPr>
      <w:r>
        <w:t xml:space="preserve">Market Authorization Timeline</w:t>
      </w:r>
    </w:p>
    <w:p>
      <w:pPr>
        <w:spacing w:after="80"/>
      </w:pPr>
      <w:r>
        <w:t xml:space="preserve">Estimated Regulatory Lead Time: [To be confirmed with regulatory affairs team]</w:t>
      </w:r>
    </w:p>
    <w:p>
      <w:pPr>
        <w:spacing w:after="80"/>
      </w:pPr>
      <w:r>
        <w:t xml:space="preserve">No FDA pre-approval submission required under monograph pathway</w:t>
      </w:r>
    </w:p>
    <w:p>
      <w:pPr>
        <w:spacing w:after="80"/>
      </w:pPr>
      <w:r>
        <w:t xml:space="preserve">Key milestones prior to commercial launch:</w:t>
      </w:r>
    </w:p>
    <w:p>
      <w:pPr>
        <w:pStyle w:val="ListParagraph"/>
        <w:numPr>
          <w:ilvl w:val="0"/>
          <w:numId w:val="1"/>
        </w:numPr>
        <w:spacing w:after="80"/>
      </w:pPr>
      <w:r>
        <w:t xml:space="preserve">• Finalize formulation and confirm monograph compliance</w:t>
      </w:r>
    </w:p>
    <w:p>
      <w:pPr>
        <w:pStyle w:val="ListParagraph"/>
        <w:numPr>
          <w:ilvl w:val="0"/>
          <w:numId w:val="1"/>
        </w:numPr>
        <w:spacing w:after="80"/>
      </w:pPr>
      <w:r>
        <w:t xml:space="preserve">• Complete cGMP manufacturing validation</w:t>
      </w:r>
    </w:p>
    <w:p>
      <w:pPr>
        <w:pStyle w:val="ListParagraph"/>
        <w:numPr>
          <w:ilvl w:val="0"/>
          <w:numId w:val="1"/>
        </w:numPr>
        <w:spacing w:after="80"/>
      </w:pPr>
      <w:r>
        <w:t xml:space="preserve">• Finalize Drug Facts labeling with regulatory review</w:t>
      </w:r>
    </w:p>
    <w:p>
      <w:pPr>
        <w:pStyle w:val="ListParagraph"/>
        <w:numPr>
          <w:ilvl w:val="0"/>
          <w:numId w:val="1"/>
        </w:numPr>
        <w:spacing w:after="80"/>
      </w:pPr>
      <w:r>
        <w:t xml:space="preserve">• Register facility and list product with NDC</w:t>
      </w:r>
    </w:p>
    <w:p>
      <w:pPr>
        <w:pStyle w:val="ListParagraph"/>
        <w:numPr>
          <w:ilvl w:val="0"/>
          <w:numId w:val="1"/>
        </w:numPr>
        <w:spacing w:after="80"/>
      </w:pPr>
      <w:r>
        <w:t xml:space="preserve">• Complete stability program initiation</w:t>
      </w:r>
    </w:p>
    <w:p>
      <w:pPr>
        <w:pStyle w:val="ListParagraph"/>
        <w:numPr>
          <w:ilvl w:val="0"/>
          <w:numId w:val="1"/>
        </w:numPr>
        <w:spacing w:after="80"/>
      </w:pPr>
      <w:r>
        <w:t xml:space="preserve">• Conduct pre-launch quality release testing</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p>
      <w:pPr>
        <w:pStyle w:val="Heading1"/>
        <w:pBdr>
          <w:bottom w:val="single" w:color="CCCCCC" w:sz="1" w:space="4"/>
        </w:pBdr>
        <w:spacing w:after="200" w:before="400"/>
      </w:pPr>
      <w:r>
        <w:t xml:space="preserve">Commercial Proposal Framework — ClearMD 2.5% BPO Acne Spot Treatment</w:t>
      </w:r>
    </w:p>
    <w:p>
      <w:pPr>
        <w:pStyle w:val="Heading2"/>
        <w:spacing w:after="120" w:before="300"/>
      </w:pPr>
      <w:r>
        <w:t xml:space="preserve">Purpose</w:t>
      </w:r>
    </w:p>
    <w:p>
      <w:pPr>
        <w:spacing w:after="80"/>
      </w:pPr>
      <w:r>
        <w:t xml:space="preserve">This document provides the Sales team with a structured framework for building a commercial proposal for ClearMD. It outlines scope of services, volume tiers, key cost drivers, and next steps required to develop a formal quotation.</w:t>
      </w:r>
    </w:p>
    <w:p>
      <w:pPr>
        <w:pStyle w:val="Heading2"/>
        <w:spacing w:after="120" w:before="300"/>
      </w:pPr>
      <w:r>
        <w:t xml:space="preserve">Scope of Services</w:t>
      </w:r>
    </w:p>
    <w:p>
      <w:pPr>
        <w:spacing w:after="80"/>
      </w:pPr>
      <w:r>
        <w:t xml:space="preserve">The following services are anticipated based on the discovery session. Final scope to be confirmed with client:</w:t>
      </w:r>
    </w:p>
    <w:p>
      <w:pPr>
        <w:pStyle w:val="ListParagraph"/>
        <w:numPr>
          <w:ilvl w:val="0"/>
          <w:numId w:val="1"/>
        </w:numPr>
        <w:spacing w:after="80"/>
      </w:pPr>
      <w:r>
        <w:t xml:space="preserve">• Formulation Development: 2.5% Benzoyl Peroxide spot treatment (dosage form TBC — gel, cream, or lotion)</w:t>
      </w:r>
    </w:p>
    <w:p>
      <w:pPr>
        <w:pStyle w:val="ListParagraph"/>
        <w:numPr>
          <w:ilvl w:val="0"/>
          <w:numId w:val="1"/>
        </w:numPr>
        <w:spacing w:after="80"/>
      </w:pPr>
      <w:r>
        <w:t xml:space="preserve">• Regulatory Compliance Review: Monograph compliance verification, Drug Facts label review</w:t>
      </w:r>
    </w:p>
    <w:p>
      <w:pPr>
        <w:pStyle w:val="ListParagraph"/>
        <w:numPr>
          <w:ilvl w:val="0"/>
          <w:numId w:val="1"/>
        </w:numPr>
        <w:spacing w:after="80"/>
      </w:pPr>
      <w:r>
        <w:t xml:space="preserve">• Stability Testing: ICH-compliant stability program to support shelf life claim</w:t>
      </w:r>
    </w:p>
    <w:p>
      <w:pPr>
        <w:pStyle w:val="ListParagraph"/>
        <w:numPr>
          <w:ilvl w:val="0"/>
          <w:numId w:val="1"/>
        </w:numPr>
        <w:spacing w:after="80"/>
      </w:pPr>
      <w:r>
        <w:t xml:space="preserve">• cGMP Manufacturing: Initial batch of 10,000 units; scale to 50,000 units within 12 months</w:t>
      </w:r>
    </w:p>
    <w:p>
      <w:pPr>
        <w:pStyle w:val="ListParagraph"/>
        <w:numPr>
          <w:ilvl w:val="0"/>
          <w:numId w:val="1"/>
        </w:numPr>
        <w:spacing w:after="80"/>
      </w:pPr>
      <w:r>
        <w:t xml:space="preserve">• Packaging &amp; Labeling: Primary and secondary packaging sourcing and assembly (specifications TBC)</w:t>
      </w:r>
    </w:p>
    <w:p>
      <w:pPr>
        <w:pStyle w:val="ListParagraph"/>
        <w:numPr>
          <w:ilvl w:val="0"/>
          <w:numId w:val="1"/>
        </w:numPr>
        <w:spacing w:after="80"/>
      </w:pPr>
      <w:r>
        <w:t xml:space="preserve">• Quality Assurance: Batch CoA, release testing, quality documentation package</w:t>
      </w:r>
    </w:p>
    <w:p>
      <w:pPr>
        <w:pStyle w:val="ListParagraph"/>
        <w:numPr>
          <w:ilvl w:val="0"/>
          <w:numId w:val="1"/>
        </w:numPr>
        <w:spacing w:after="80"/>
      </w:pPr>
      <w:r>
        <w:t xml:space="preserve">• Project Management: Dedicated project coordination through development and launch</w:t>
      </w:r>
    </w:p>
    <w:p>
      <w:pPr>
        <w:pStyle w:val="Heading2"/>
        <w:spacing w:after="120" w:before="300"/>
      </w:pPr>
      <w:r>
        <w:t xml:space="preserve">Volume &amp; Pricing Tiers</w:t>
      </w:r>
    </w:p>
    <w:p>
      <w:pPr>
        <w:spacing w:after="80"/>
      </w:pPr>
      <w:r>
        <w:t xml:space="preserve">Tier 1 — Initial Run: 10,000 units</w:t>
      </w:r>
    </w:p>
    <w:p>
      <w:pPr>
        <w:spacing w:after="80"/>
      </w:pPr>
      <w:r>
        <w:t xml:space="preserve">Tier 2 — Scale Target (Month 12): 50,000 units</w:t>
      </w:r>
    </w:p>
    <w:p>
      <w:pPr>
        <w:spacing w:after="80"/>
      </w:pPr>
      <w:r>
        <w:t xml:space="preserve">Key Cost Drivers to be Quoted:</w:t>
      </w:r>
    </w:p>
    <w:p>
      <w:pPr>
        <w:pStyle w:val="ListParagraph"/>
        <w:numPr>
          <w:ilvl w:val="0"/>
          <w:numId w:val="1"/>
        </w:numPr>
        <w:spacing w:after="80"/>
      </w:pPr>
      <w:r>
        <w:t xml:space="preserve">• Formulation development fee (one-time)</w:t>
      </w:r>
    </w:p>
    <w:p>
      <w:pPr>
        <w:pStyle w:val="ListParagraph"/>
        <w:numPr>
          <w:ilvl w:val="0"/>
          <w:numId w:val="1"/>
        </w:numPr>
        <w:spacing w:after="80"/>
      </w:pPr>
      <w:r>
        <w:t xml:space="preserve">• Stability study fees</w:t>
      </w:r>
    </w:p>
    <w:p>
      <w:pPr>
        <w:pStyle w:val="ListParagraph"/>
        <w:numPr>
          <w:ilvl w:val="0"/>
          <w:numId w:val="1"/>
        </w:numPr>
        <w:spacing w:after="80"/>
      </w:pPr>
      <w:r>
        <w:t xml:space="preserve">• Regulatory documentation / label review fee</w:t>
      </w:r>
    </w:p>
    <w:p>
      <w:pPr>
        <w:pStyle w:val="ListParagraph"/>
        <w:numPr>
          <w:ilvl w:val="0"/>
          <w:numId w:val="1"/>
        </w:numPr>
        <w:spacing w:after="80"/>
      </w:pPr>
      <w:r>
        <w:t xml:space="preserve">• Per-unit manufacturing cost (variable by volume tier)</w:t>
      </w:r>
    </w:p>
    <w:p>
      <w:pPr>
        <w:pStyle w:val="ListParagraph"/>
        <w:numPr>
          <w:ilvl w:val="0"/>
          <w:numId w:val="1"/>
        </w:numPr>
        <w:spacing w:after="80"/>
      </w:pPr>
      <w:r>
        <w:t xml:space="preserve">• Packaging materials cost (dependent on pack size, format, and material selection)</w:t>
      </w:r>
    </w:p>
    <w:p>
      <w:pPr>
        <w:pStyle w:val="ListParagraph"/>
        <w:numPr>
          <w:ilvl w:val="0"/>
          <w:numId w:val="1"/>
        </w:numPr>
        <w:spacing w:after="80"/>
      </w:pPr>
      <w:r>
        <w:t xml:space="preserve">• Minimum Order Quantity (MOQ): [To be confirmed]</w:t>
      </w:r>
    </w:p>
    <w:p>
      <w:pPr>
        <w:pStyle w:val="ListParagraph"/>
        <w:numPr>
          <w:ilvl w:val="0"/>
          <w:numId w:val="1"/>
        </w:numPr>
        <w:spacing w:after="80"/>
      </w:pPr>
      <w:r>
        <w:t xml:space="preserve">• Lead time — development to first batch: [To be confirmed]</w:t>
      </w:r>
    </w:p>
    <w:p>
      <w:pPr>
        <w:pStyle w:val="ListParagraph"/>
        <w:numPr>
          <w:ilvl w:val="0"/>
          <w:numId w:val="1"/>
        </w:numPr>
        <w:spacing w:after="80"/>
      </w:pPr>
      <w:r>
        <w:t xml:space="preserve">• Lead time — repeat production orders: [To be confirmed]</w:t>
      </w:r>
    </w:p>
    <w:p>
      <w:pPr>
        <w:spacing w:after="80"/>
      </w:pPr>
      <w:r>
        <w:t xml:space="preserve">Note: Formal unit pricing and project fees require completion of a full technical brief. Cost estimates should not be shared with the client prior to internal costing review.</w:t>
      </w:r>
    </w:p>
    <w:p>
      <w:pPr>
        <w:pStyle w:val="Heading2"/>
        <w:spacing w:after="120" w:before="300"/>
      </w:pPr>
      <w:r>
        <w:t xml:space="preserve">Margin &amp; Retail Price Positioning</w:t>
      </w:r>
    </w:p>
    <w:p>
      <w:pPr>
        <w:spacing w:after="80"/>
      </w:pPr>
      <w:r>
        <w:t xml:space="preserve">Client Retail Price Target: $18–$22 USD</w:t>
      </w:r>
    </w:p>
    <w:p>
      <w:pPr>
        <w:spacing w:after="80"/>
      </w:pPr>
      <w:r>
        <w:t xml:space="preserve">Channel: Mass market / drug store</w:t>
      </w:r>
    </w:p>
    <w:p>
      <w:pPr>
        <w:spacing w:after="80"/>
      </w:pPr>
      <w:r>
        <w:t xml:space="preserve">Implied retail margin structure (typical for mass channel):</w:t>
      </w:r>
    </w:p>
    <w:p>
      <w:pPr>
        <w:pStyle w:val="ListParagraph"/>
        <w:numPr>
          <w:ilvl w:val="0"/>
          <w:numId w:val="1"/>
        </w:numPr>
        <w:spacing w:after="80"/>
      </w:pPr>
      <w:r>
        <w:t xml:space="preserve">• Retailer margin: ~35–45%</w:t>
      </w:r>
    </w:p>
    <w:p>
      <w:pPr>
        <w:pStyle w:val="ListParagraph"/>
        <w:numPr>
          <w:ilvl w:val="0"/>
          <w:numId w:val="1"/>
        </w:numPr>
        <w:spacing w:after="80"/>
      </w:pPr>
      <w:r>
        <w:t xml:space="preserve">• Distributor / broker margin (if applicable): [To be confirmed]</w:t>
      </w:r>
    </w:p>
    <w:p>
      <w:pPr>
        <w:pStyle w:val="ListParagraph"/>
        <w:numPr>
          <w:ilvl w:val="0"/>
          <w:numId w:val="1"/>
        </w:numPr>
        <w:spacing w:after="80"/>
      </w:pPr>
      <w:r>
        <w:t xml:space="preserve">• ClearMD brand margin target: [To be confirmed]</w:t>
      </w:r>
    </w:p>
    <w:p>
      <w:pPr>
        <w:spacing w:after="80"/>
      </w:pPr>
      <w:r>
        <w:t xml:space="preserve">Sales team to work with internal costing to ensure manufactured cost supports client margin requirements at scale. Volume-driven cost reduction from 10K to 50K units should be highlighted as a key commercial lever.</w:t>
      </w:r>
    </w:p>
    <w:p>
      <w:pPr>
        <w:pStyle w:val="Heading2"/>
        <w:spacing w:after="120" w:before="300"/>
      </w:pPr>
      <w:r>
        <w:t xml:space="preserve">Next Steps to Advance Proposal</w:t>
      </w:r>
    </w:p>
    <w:p>
      <w:pPr>
        <w:spacing w:after="80"/>
      </w:pPr>
      <w:r>
        <w:t xml:space="preserve">1. Confirm dosage form (gel / cream / lotion) with ClearMD</w:t>
      </w:r>
    </w:p>
    <w:p>
      <w:pPr>
        <w:spacing w:after="80"/>
      </w:pPr>
      <w:r>
        <w:t xml:space="preserve">2. Confirm pack size, fill weight, and packaging format</w:t>
      </w:r>
    </w:p>
    <w:p>
      <w:pPr>
        <w:spacing w:after="80"/>
      </w:pPr>
      <w:r>
        <w:t xml:space="preserve">3. Obtain ClearMD's existing formulation brief or benchmarks (if any)</w:t>
      </w:r>
    </w:p>
    <w:p>
      <w:pPr>
        <w:spacing w:after="80"/>
      </w:pPr>
      <w:r>
        <w:t xml:space="preserve">4. Confirm shelf life target and storage conditions</w:t>
      </w:r>
    </w:p>
    <w:p>
      <w:pPr>
        <w:spacing w:after="80"/>
      </w:pPr>
      <w:r>
        <w:t xml:space="preserve">5. Confirm launch timeline and first delivery date requirement</w:t>
      </w:r>
    </w:p>
    <w:p>
      <w:pPr>
        <w:spacing w:after="80"/>
      </w:pPr>
      <w:r>
        <w:t xml:space="preserve">6. Initiate internal costing request with formulation, manufacturing, and packaging teams</w:t>
      </w:r>
    </w:p>
    <w:p>
      <w:pPr>
        <w:spacing w:after="80"/>
      </w:pPr>
      <w:r>
        <w:t xml:space="preserve">7. Schedule technical kickoff call with ClearMD and CosmoLab formulation team</w:t>
      </w:r>
    </w:p>
    <w:p>
      <w:pPr>
        <w:spacing w:after="80"/>
      </w:pPr>
      <w:r>
        <w:t xml:space="preserve">8. Issue formal quotation following internal costing review</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p>
      <w:pPr>
        <w:pStyle w:val="Heading1"/>
        <w:pBdr>
          <w:bottom w:val="single" w:color="CCCCCC" w:sz="1" w:space="4"/>
        </w:pBdr>
        <w:spacing w:after="200" w:before="400"/>
      </w:pPr>
      <w:r>
        <w:t xml:space="preserve">Client-Facing Q&amp;A Preparation Guide — ClearMD Sales Meeting</w:t>
      </w:r>
    </w:p>
    <w:p>
      <w:pPr>
        <w:pStyle w:val="Heading2"/>
        <w:spacing w:after="120" w:before="300"/>
      </w:pPr>
      <w:r>
        <w:t xml:space="preserve">Purpose</w:t>
      </w:r>
    </w:p>
    <w:p>
      <w:pPr>
        <w:spacing w:after="80"/>
      </w:pPr>
      <w:r>
        <w:t xml:space="preserve">This guide prepares the Sales team for anticipated client questions during meetings and presentations with ClearMD. Answers are based on the discovery session and should be supplemented with internal expert input where noted.</w:t>
      </w:r>
    </w:p>
    <w:p>
      <w:pPr>
        <w:pStyle w:val="Heading2"/>
        <w:spacing w:after="120" w:before="300"/>
      </w:pPr>
      <w:r>
        <w:t xml:space="preserve">Regulatory Questions</w:t>
      </w:r>
    </w:p>
    <w:p>
      <w:pPr>
        <w:spacing w:after="80"/>
      </w:pPr>
      <w:r>
        <w:t xml:space="preserve">Q: Do we need FDA approval before we can sell this product?</w:t>
      </w:r>
    </w:p>
    <w:p>
      <w:pPr>
        <w:spacing w:after="80"/>
      </w:pPr>
      <w:r>
        <w:t xml:space="preserve">A: No. Because 2.5% Benzoyl Peroxide is an approved active ingredient under the FDA OTC Acne Monograph (21 CFR Part 333), your product can be marketed without a New Drug Application, provided all monograph conditions are met — including formulation, labeling, and manufacturing compliance.</w:t>
      </w:r>
    </w:p>
    <w:p>
      <w:pPr>
        <w:spacing w:after="80"/>
      </w:pPr>
      <w:r>
        <w:t xml:space="preserve">Q: What labeling is required on the product?</w:t>
      </w:r>
    </w:p>
    <w:p>
      <w:pPr>
        <w:spacing w:after="80"/>
      </w:pPr>
      <w:r>
        <w:t xml:space="preserve">A: OTC drug products must carry a Drug Facts panel complying with 21 CFR 201.66. This includes active ingredient declaration, intended use, warnings, directions, and inactive ingredients. Our regulatory team will review all label copy prior to print.</w:t>
      </w:r>
    </w:p>
    <w:p>
      <w:pPr>
        <w:spacing w:after="80"/>
      </w:pPr>
      <w:r>
        <w:t xml:space="preserve">Q: Will the product need to be registered with the FDA?</w:t>
      </w:r>
    </w:p>
    <w:p>
      <w:pPr>
        <w:spacing w:after="80"/>
      </w:pPr>
      <w:r>
        <w:t xml:space="preserve">A: Yes. The manufacturing facility must be registered with the FDA, and the product must be listed with a National Drug Code (NDC) number before commercial distribution. We can guide you through this process.</w:t>
      </w:r>
    </w:p>
    <w:p>
      <w:pPr>
        <w:spacing w:after="80"/>
      </w:pPr>
      <w:r>
        <w:t xml:space="preserve">Q: Are there any fees associated with the OTC monograph pathway?</w:t>
      </w:r>
    </w:p>
    <w:p>
      <w:pPr>
        <w:spacing w:after="80"/>
      </w:pPr>
      <w:r>
        <w:t xml:space="preserve">A: OMUFA (Over-the-Counter Monograph User Fee Act) fees may apply. Please confirm specific fee applicability with your regulatory affairs team.</w:t>
      </w:r>
    </w:p>
    <w:p>
      <w:pPr>
        <w:pStyle w:val="Heading2"/>
        <w:spacing w:after="120" w:before="300"/>
      </w:pPr>
      <w:r>
        <w:t xml:space="preserve">Formulation &amp; Product Questions</w:t>
      </w:r>
    </w:p>
    <w:p>
      <w:pPr>
        <w:spacing w:after="80"/>
      </w:pPr>
      <w:r>
        <w:t xml:space="preserve">Q: Why 2.5% and not a higher concentration?</w:t>
      </w:r>
    </w:p>
    <w:p>
      <w:pPr>
        <w:spacing w:after="80"/>
      </w:pPr>
      <w:r>
        <w:t xml:space="preserve">A: 2.5% BPO is the lowest concentration permitted under the monograph and is clinically recognized as effective for mild-to-moderate acne. It also offers a gentler user experience, which is particularly well-suited for the 15–35 demographic and supports the 'dermatologist-recommended' positioning of the ClearMD brand.</w:t>
      </w:r>
    </w:p>
    <w:p>
      <w:pPr>
        <w:spacing w:after="80"/>
      </w:pPr>
      <w:r>
        <w:t xml:space="preserve">Q: Can you match a specific texture or skin feel?</w:t>
      </w:r>
    </w:p>
    <w:p>
      <w:pPr>
        <w:spacing w:after="80"/>
      </w:pPr>
      <w:r>
        <w:t xml:space="preserve">A: Yes. We will work with ClearMD to define the desired formulation profile — including texture, skin feel, and finish — as part of the development brief. [Dosage form TBC.]</w:t>
      </w:r>
    </w:p>
    <w:p>
      <w:pPr>
        <w:spacing w:after="80"/>
      </w:pPr>
      <w:r>
        <w:t xml:space="preserve">Q: Can the formula be fragrance-free?</w:t>
      </w:r>
    </w:p>
    <w:p>
      <w:pPr>
        <w:spacing w:after="80"/>
      </w:pPr>
      <w:r>
        <w:t xml:space="preserve">A: This can be accommodated. Fragrance preferences to be confirmed during formulation briefing.</w:t>
      </w:r>
    </w:p>
    <w:p>
      <w:pPr>
        <w:pStyle w:val="Heading2"/>
        <w:spacing w:after="120" w:before="300"/>
      </w:pPr>
      <w:r>
        <w:t xml:space="preserve">Manufacturing &amp; Scale Questions</w:t>
      </w:r>
    </w:p>
    <w:p>
      <w:pPr>
        <w:spacing w:after="80"/>
      </w:pPr>
      <w:r>
        <w:t xml:space="preserve">Q: Can you handle our volume requirements?</w:t>
      </w:r>
    </w:p>
    <w:p>
      <w:pPr>
        <w:spacing w:after="80"/>
      </w:pPr>
      <w:r>
        <w:t xml:space="preserve">A: Yes. We are equipped to manufacture the initial 10,000-unit run and support the planned scale to 50,000 units within 12 months. Volume-based efficiencies will be reflected in per-unit pricing at scale.</w:t>
      </w:r>
    </w:p>
    <w:p>
      <w:pPr>
        <w:spacing w:after="80"/>
      </w:pPr>
      <w:r>
        <w:t xml:space="preserve">Q: What is the lead time from project start to first batch delivery?</w:t>
      </w:r>
    </w:p>
    <w:p>
      <w:pPr>
        <w:spacing w:after="80"/>
      </w:pPr>
      <w:r>
        <w:t xml:space="preserve">A: Lead time is dependent on formulation complexity, packaging sourcing, and stability requirements. [To be confirmed following full technical brief.]</w:t>
      </w:r>
    </w:p>
    <w:p>
      <w:pPr>
        <w:spacing w:after="80"/>
      </w:pPr>
      <w:r>
        <w:t xml:space="preserve">Q: Do you manufacture under cGMP?</w:t>
      </w:r>
    </w:p>
    <w:p>
      <w:pPr>
        <w:spacing w:after="80"/>
      </w:pPr>
      <w:r>
        <w:t xml:space="preserve">A: Yes. All manufacturing is conducted in compliance with FDA cGMP regulations (21 CFR Parts 210 &amp; 211).</w:t>
      </w:r>
    </w:p>
    <w:p>
      <w:pPr>
        <w:pStyle w:val="Heading2"/>
        <w:spacing w:after="120" w:before="300"/>
      </w:pPr>
      <w:r>
        <w:t xml:space="preserve">Commercial Questions</w:t>
      </w:r>
    </w:p>
    <w:p>
      <w:pPr>
        <w:spacing w:after="80"/>
      </w:pPr>
      <w:r>
        <w:t xml:space="preserve">Q: Can you support our $18–$22 retail price point?</w:t>
      </w:r>
    </w:p>
    <w:p>
      <w:pPr>
        <w:spacing w:after="80"/>
      </w:pPr>
      <w:r>
        <w:t xml:space="preserve">A: Our goal is to engineer a cost structure that supports your target retail price and brand margin. We will provide a detailed cost model following the technical brief and internal costing review.</w:t>
      </w:r>
    </w:p>
    <w:p>
      <w:pPr>
        <w:spacing w:after="80"/>
      </w:pPr>
      <w:r>
        <w:t xml:space="preserve">Q: What is the minimum order quantity?</w:t>
      </w:r>
    </w:p>
    <w:p>
      <w:pPr>
        <w:spacing w:after="80"/>
      </w:pPr>
      <w:r>
        <w:t xml:space="preserve">A: [To be confirmed — initial run proposed at 10,000 units.]</w:t>
      </w:r>
    </w:p>
    <w:p>
      <w:pPr>
        <w:spacing w:after="80"/>
      </w:pPr>
      <w:r>
        <w:t xml:space="preserve">Q: What documentation will we receive with each batch?</w:t>
      </w:r>
    </w:p>
    <w:p>
      <w:pPr>
        <w:spacing w:after="80"/>
      </w:pPr>
      <w:r>
        <w:t xml:space="preserve">A: Each batch is accompanied by a Certificate of Analysis (CoA) and full quality documentation package. Specific documentation requirements to be confirmed during project scoping.</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OTC Drug Discovery Documents</dc:title>
  <dc:creator>CosmoLab AI</dc:creator>
  <cp:lastModifiedBy>Un-named</cp:lastModifiedBy>
  <cp:revision>1</cp:revision>
  <dcterms:created xsi:type="dcterms:W3CDTF">2026-03-21T12:55:24.904Z</dcterms:created>
  <dcterms:modified xsi:type="dcterms:W3CDTF">2026-03-21T12:55:24.904Z</dcterms:modified>
</cp:coreProperties>
</file>

<file path=docProps/custom.xml><?xml version="1.0" encoding="utf-8"?>
<Properties xmlns="http://schemas.openxmlformats.org/officeDocument/2006/custom-properties" xmlns:vt="http://schemas.openxmlformats.org/officeDocument/2006/docPropsVTypes"/>
</file>