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Client Project Overview</w:t>
      </w:r>
    </w:p>
    <w:p>
      <w:pPr>
        <w:pStyle w:val="Heading2"/>
        <w:spacing w:after="120" w:before="300"/>
      </w:pPr>
      <w:r>
        <w:t xml:space="preserve">Brand &amp; Contact Information</w:t>
      </w:r>
    </w:p>
    <w:p>
      <w:pPr>
        <w:spacing w:after="80"/>
      </w:pPr>
      <w:r>
        <w:t xml:space="preserve">Brand name: Soleil Studio</w:t>
      </w:r>
    </w:p>
    <w:p>
      <w:pPr>
        <w:spacing w:after="80"/>
      </w:pPr>
      <w:r>
        <w:t xml:space="preserve">Project type: New product development — first formulation project</w:t>
      </w:r>
    </w:p>
    <w:p>
      <w:pPr>
        <w:spacing w:after="80"/>
      </w:pPr>
      <w:r>
        <w:t xml:space="preserve">Brand stage: New / pre-launch</w:t>
      </w:r>
    </w:p>
    <w:p>
      <w:pPr>
        <w:spacing w:after="80"/>
      </w:pPr>
      <w:r>
        <w:t xml:space="preserve">Distribution: DTC (own website) + boutique retail</w:t>
      </w:r>
    </w:p>
    <w:p>
      <w:pPr>
        <w:spacing w:after="80"/>
      </w:pPr>
      <w:r>
        <w:t xml:space="preserve">Target retail price: $38–45 USD</w:t>
      </w:r>
    </w:p>
    <w:p>
      <w:pPr>
        <w:pStyle w:val="Heading2"/>
        <w:spacing w:after="120" w:before="300"/>
      </w:pPr>
      <w:r>
        <w:t xml:space="preserve">Product Concept</w:t>
      </w:r>
    </w:p>
    <w:p>
      <w:pPr>
        <w:spacing w:after="80"/>
      </w:pPr>
      <w:r>
        <w:t xml:space="preserve">Product type: SPF 50 daily moisturizer — no white cast</w:t>
      </w:r>
    </w:p>
    <w:p>
      <w:pPr>
        <w:spacing w:after="80"/>
      </w:pPr>
      <w:r>
        <w:t xml:space="preserve">Target consumer: Melanin-rich / deeper skin tones</w:t>
      </w:r>
    </w:p>
    <w:p>
      <w:pPr>
        <w:spacing w:after="80"/>
      </w:pPr>
      <w:r>
        <w:t xml:space="preserve">Positioning: Premium, clean beauty SPF brand owning the melanin-rich skin space</w:t>
      </w:r>
    </w:p>
    <w:p>
      <w:pPr>
        <w:spacing w:after="80"/>
      </w:pPr>
      <w:r>
        <w:t xml:space="preserve">Texture benchmark: Fenty Skin Hydra Vizor — gel-cream, lightweight hybrid</w:t>
      </w:r>
    </w:p>
    <w:p>
      <w:pPr>
        <w:spacing w:after="80"/>
      </w:pPr>
      <w:r>
        <w:t xml:space="preserve">Container: 50mL pump bottle</w:t>
      </w:r>
    </w:p>
    <w:p>
      <w:pPr>
        <w:pStyle w:val="Heading2"/>
        <w:spacing w:after="120" w:before="300"/>
      </w:pPr>
      <w:r>
        <w:t xml:space="preserve">Key Requirements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Hybrid UV filter system: avobenzone + supporting chemical filters + zinc oxide under 10%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Excluded UV actives: No oxybenzone, no octinoxate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Excluded ingredients: No silicones, no mineral oil, no synthetic fragrance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Claims: SPF 50 broad-spectrum, no white cast on melanin-rich skin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Regulatory classification: US OTC drug product — FDA sunscreen monograph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Formulation Requirements</w:t>
      </w:r>
    </w:p>
    <w:p>
      <w:pPr>
        <w:pStyle w:val="Heading2"/>
        <w:spacing w:after="120" w:before="300"/>
      </w:pPr>
      <w:r>
        <w:t xml:space="preserve">UV Filter Strategy</w:t>
      </w:r>
    </w:p>
    <w:p>
      <w:pPr>
        <w:spacing w:after="80"/>
      </w:pPr>
      <w:r>
        <w:t xml:space="preserve">Target SPF: 50 (broad-spectrum)</w:t>
      </w:r>
    </w:p>
    <w:p>
      <w:pPr>
        <w:spacing w:after="80"/>
      </w:pPr>
      <w:r>
        <w:t xml:space="preserve">Filter approach: Hybrid mineral/chemical system</w:t>
      </w:r>
    </w:p>
    <w:p>
      <w:pPr>
        <w:spacing w:after="80"/>
      </w:pPr>
      <w:r>
        <w:t xml:space="preserve">Preferred actives: Avobenzone + octisalate + low-level zinc oxide (&lt;10%)</w:t>
      </w:r>
    </w:p>
    <w:p>
      <w:pPr>
        <w:spacing w:after="80"/>
      </w:pPr>
      <w:r>
        <w:t xml:space="preserve">Excluded actives: Oxybenzone, octinoxate (client hard requirement — clean beauty positioning and global market compliance)</w:t>
      </w:r>
    </w:p>
    <w:p>
      <w:pPr>
        <w:spacing w:after="80"/>
      </w:pPr>
      <w:r>
        <w:t xml:space="preserve">White cast mitigation: Zinc oxide at sub-10% with chemical filter co-system; consider coated zinc particles for further white cast reduction</w:t>
      </w:r>
    </w:p>
    <w:p>
      <w:pPr>
        <w:pStyle w:val="Heading2"/>
        <w:spacing w:after="120" w:before="300"/>
      </w:pPr>
      <w:r>
        <w:t xml:space="preserve">Texture &amp; Skin Feel</w:t>
      </w:r>
    </w:p>
    <w:p>
      <w:pPr>
        <w:spacing w:after="80"/>
      </w:pPr>
      <w:r>
        <w:t xml:space="preserve">Target texture: Gel-cream hybrid — lightweight, fast-absorbing, non-greasy</w:t>
      </w:r>
    </w:p>
    <w:p>
      <w:pPr>
        <w:spacing w:after="80"/>
      </w:pPr>
      <w:r>
        <w:t xml:space="preserve">Benchmark: Fenty Skin Hydra Vizor SPF 30</w:t>
      </w:r>
    </w:p>
    <w:p>
      <w:pPr>
        <w:spacing w:after="80"/>
      </w:pPr>
      <w:r>
        <w:t xml:space="preserve">Key performance requirement: Must not pill under makeup — critical for daily wear claim</w:t>
      </w:r>
    </w:p>
    <w:p>
      <w:pPr>
        <w:spacing w:after="80"/>
      </w:pPr>
      <w:r>
        <w:t xml:space="preserve">Exclusions: No silicones (dimethicone, cyclomethicone), no mineral oil</w:t>
      </w:r>
    </w:p>
    <w:p>
      <w:pPr>
        <w:spacing w:after="80"/>
      </w:pPr>
      <w:r>
        <w:t xml:space="preserve">Suggested texture-building approach: Hydroxyethyl cellulose, hyaluronic acid, glycerin-forward humectant system</w:t>
      </w:r>
    </w:p>
    <w:p>
      <w:pPr>
        <w:pStyle w:val="Heading2"/>
        <w:spacing w:after="120" w:before="300"/>
      </w:pPr>
      <w:r>
        <w:t xml:space="preserve">Fragrance &amp; Preservation</w:t>
      </w:r>
    </w:p>
    <w:p>
      <w:pPr>
        <w:spacing w:after="80"/>
      </w:pPr>
      <w:r>
        <w:t xml:space="preserve">Fragrance: Fragrance-free (no synthetic fragrance per client requirement)</w:t>
      </w:r>
    </w:p>
    <w:p>
      <w:pPr>
        <w:spacing w:after="80"/>
      </w:pPr>
      <w:r>
        <w:t xml:space="preserve">Preservation: Broad-spectrum preservative system compatible with OTC drug product requirements</w:t>
      </w:r>
    </w:p>
    <w:p>
      <w:pPr>
        <w:spacing w:after="80"/>
      </w:pPr>
      <w:r>
        <w:t xml:space="preserve">Note: Preservative selection must be reviewed in context of FDA OTC monograph compliance</w:t>
      </w:r>
    </w:p>
    <w:p>
      <w:pPr>
        <w:pStyle w:val="Heading2"/>
        <w:spacing w:after="120" w:before="300"/>
      </w:pPr>
      <w:r>
        <w:t xml:space="preserve">Development Notes</w:t>
      </w:r>
    </w:p>
    <w:p>
      <w:pPr>
        <w:spacing w:after="80"/>
      </w:pPr>
      <w:r>
        <w:t xml:space="preserve">Target pH: 6.0–7.0 (compatible with skin and UV filter stability)</w:t>
      </w:r>
    </w:p>
    <w:p>
      <w:pPr>
        <w:spacing w:after="80"/>
      </w:pPr>
      <w:r>
        <w:t xml:space="preserve">Stability testing: ICH-compliant accelerated stability required for OTC drug product</w:t>
      </w:r>
    </w:p>
    <w:p>
      <w:pPr>
        <w:spacing w:after="80"/>
      </w:pPr>
      <w:r>
        <w:t xml:space="preserve">SPF testing: Required — in vivo SPF 50 testing per FDA protocol (FDA 2011 Final Rule)</w:t>
      </w:r>
    </w:p>
    <w:p>
      <w:pPr>
        <w:spacing w:after="80"/>
      </w:pPr>
      <w:r>
        <w:t xml:space="preserve">Critical path item: SPF testing timeline typically 8–12 weeks — must be initiated early in development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Regulatory &amp; Compliance Summary</w:t>
      </w:r>
    </w:p>
    <w:p>
      <w:pPr>
        <w:pStyle w:val="Heading2"/>
        <w:spacing w:after="120" w:before="300"/>
      </w:pPr>
      <w:r>
        <w:t xml:space="preserve">US Regulatory Classification</w:t>
      </w:r>
    </w:p>
    <w:p>
      <w:pPr>
        <w:spacing w:after="80"/>
      </w:pPr>
      <w:r>
        <w:t xml:space="preserve">Classification: OTC drug product — FDA sunscreen monograph (21 CFR Part 352 / 2019 Proposed Rule)</w:t>
      </w:r>
    </w:p>
    <w:p>
      <w:pPr>
        <w:spacing w:after="80"/>
      </w:pPr>
      <w:r>
        <w:t xml:space="preserve">Required labeling: Drug Facts panel — mandatory format per FDA</w:t>
      </w:r>
    </w:p>
    <w:p>
      <w:pPr>
        <w:spacing w:after="80"/>
      </w:pPr>
      <w:r>
        <w:t xml:space="preserve">Active ingredient disclosure: Required with concentration (e.g., Avobenzone 3%, Zinc Oxide 9%)</w:t>
      </w:r>
    </w:p>
    <w:p>
      <w:pPr>
        <w:spacing w:after="80"/>
      </w:pPr>
      <w:r>
        <w:t xml:space="preserve">SPF claim: SPF 50 — requires in vivo testing per FDA 2011 Final Rule</w:t>
      </w:r>
    </w:p>
    <w:p>
      <w:pPr>
        <w:spacing w:after="80"/>
      </w:pPr>
      <w:r>
        <w:t xml:space="preserve">Broad-spectrum claim: Requires passing Critical Wavelength test (≥370 nm)</w:t>
      </w:r>
    </w:p>
    <w:p>
      <w:pPr>
        <w:spacing w:after="80"/>
      </w:pPr>
      <w:r>
        <w:t xml:space="preserve">MoCRA compliance: Required as an OTC drug product sold in the US</w:t>
      </w:r>
    </w:p>
    <w:p>
      <w:pPr>
        <w:pStyle w:val="Heading2"/>
        <w:spacing w:after="120" w:before="300"/>
      </w:pPr>
      <w:r>
        <w:t xml:space="preserve">Key Regulatory Actions Required</w:t>
      </w:r>
    </w:p>
    <w:p>
      <w:pPr>
        <w:spacing w:after="80"/>
      </w:pPr>
      <w:r>
        <w:t xml:space="preserve">1. Select UV actives from FDA-approved sunscreen monograph list — confirm avobenzone + zinc system is within permitted concentrations</w:t>
      </w:r>
    </w:p>
    <w:p>
      <w:pPr>
        <w:spacing w:after="80"/>
      </w:pPr>
      <w:r>
        <w:t xml:space="preserve">2. Commission in vivo SPF 50 testing (FDA-accredited lab) — budget 8–12 weeks and $8,000–$15,000 for testing</w:t>
      </w:r>
    </w:p>
    <w:p>
      <w:pPr>
        <w:spacing w:after="80"/>
      </w:pPr>
      <w:r>
        <w:t xml:space="preserve">3. Prepare Drug Facts panel per FDA format requirements</w:t>
      </w:r>
    </w:p>
    <w:p>
      <w:pPr>
        <w:spacing w:after="80"/>
      </w:pPr>
      <w:r>
        <w:t xml:space="preserve">4. Safety substantiation dossier — required under MoCRA</w:t>
      </w:r>
    </w:p>
    <w:p>
      <w:pPr>
        <w:spacing w:after="80"/>
      </w:pPr>
      <w:r>
        <w:t xml:space="preserve">5. If Canada launch planned: Register with Health Canada; bilingual label required; different active ingredient allowances apply</w:t>
      </w:r>
    </w:p>
    <w:p>
      <w:pPr>
        <w:pStyle w:val="Heading2"/>
        <w:spacing w:after="120" w:before="300"/>
      </w:pPr>
      <w:r>
        <w:t xml:space="preserve">Clean Beauty Compliance</w:t>
      </w:r>
    </w:p>
    <w:p>
      <w:pPr>
        <w:spacing w:after="80"/>
      </w:pPr>
      <w:r>
        <w:t xml:space="preserve">Client clean beauty commitments: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No oxybenzone (also banned in Hawaii, Key West, Palau — avoidance provides market flexibility)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No octinoxate (EU restricted; avoiding provides EU-compatible formulation option)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No silicones, no mineral oil, no synthetic fragrance</w:t>
      </w:r>
    </w:p>
    <w:p>
      <w:pPr>
        <w:spacing w:after="80"/>
      </w:pPr>
      <w:r>
        <w:t xml:space="preserve">Note: These exclusions are cosmetic positioning commitments — they must be documented in the formulation brief and verified at every formula revision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Commercial &amp; Project Parameters</w:t>
      </w:r>
    </w:p>
    <w:p>
      <w:pPr>
        <w:pStyle w:val="Heading2"/>
        <w:spacing w:after="120" w:before="300"/>
      </w:pPr>
      <w:r>
        <w:t xml:space="preserve">Volume &amp; Timeline</w:t>
      </w:r>
    </w:p>
    <w:p>
      <w:pPr>
        <w:spacing w:after="80"/>
      </w:pPr>
      <w:r>
        <w:t xml:space="preserve">Initial production quantity: 3,000–5,000 units</w:t>
      </w:r>
    </w:p>
    <w:p>
      <w:pPr>
        <w:spacing w:after="80"/>
      </w:pPr>
      <w:r>
        <w:t xml:space="preserve">Expected scale: DTC + boutique retail; potential for broader retail in Year 2</w:t>
      </w:r>
    </w:p>
    <w:p>
      <w:pPr>
        <w:spacing w:after="80"/>
      </w:pPr>
      <w:r>
        <w:t xml:space="preserve">Target launch: 9 months from project start</w:t>
      </w:r>
    </w:p>
    <w:p>
      <w:pPr>
        <w:spacing w:after="80"/>
      </w:pPr>
      <w:r>
        <w:t xml:space="preserve">Brand experience: First formulation project — client will need guidance through process milestones</w:t>
      </w:r>
    </w:p>
    <w:p>
      <w:pPr>
        <w:pStyle w:val="Heading2"/>
        <w:spacing w:after="120" w:before="300"/>
      </w:pPr>
      <w:r>
        <w:t xml:space="preserve">Indicative Project Milestones</w:t>
      </w:r>
    </w:p>
    <w:p>
      <w:pPr>
        <w:spacing w:after="80"/>
      </w:pPr>
      <w:r>
        <w:t xml:space="preserve">Month 1–2: Formulation development — prototype iterations</w:t>
      </w:r>
    </w:p>
    <w:p>
      <w:pPr>
        <w:spacing w:after="80"/>
      </w:pPr>
      <w:r>
        <w:t xml:space="preserve">Month 3: SPF testing commissioned (in vivo — FDA lab)</w:t>
      </w:r>
    </w:p>
    <w:p>
      <w:pPr>
        <w:spacing w:after="80"/>
      </w:pPr>
      <w:r>
        <w:t xml:space="preserve">Month 4: Formula lock — stability study initiated</w:t>
      </w:r>
    </w:p>
    <w:p>
      <w:pPr>
        <w:spacing w:after="80"/>
      </w:pPr>
      <w:r>
        <w:t xml:space="preserve">Month 5–6: Packaging compatibility, label development (Drug Facts panel)</w:t>
      </w:r>
    </w:p>
    <w:p>
      <w:pPr>
        <w:spacing w:after="80"/>
      </w:pPr>
      <w:r>
        <w:t xml:space="preserve">Month 7: SPF test results received; adjust if needed</w:t>
      </w:r>
    </w:p>
    <w:p>
      <w:pPr>
        <w:spacing w:after="80"/>
      </w:pPr>
      <w:r>
        <w:t xml:space="preserve">Month 8: Regulatory review, final stability check</w:t>
      </w:r>
    </w:p>
    <w:p>
      <w:pPr>
        <w:spacing w:after="80"/>
      </w:pPr>
      <w:r>
        <w:t xml:space="preserve">Month 9: Commercial production — launch</w:t>
      </w:r>
    </w:p>
    <w:p>
      <w:pPr>
        <w:pStyle w:val="Heading2"/>
        <w:spacing w:after="120" w:before="300"/>
      </w:pPr>
      <w:r>
        <w:t xml:space="preserve">Open Items for Commercial Team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SPF testing cost and timeline to be scoped and communicated to client early — this is the key critical path item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Client has not confirmed packaging supplier — coordination needed on 50mL pump bottle lead 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MOQ and COGS estimate to be provided once formula is closer to lock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Client is first-time brand — recommend assigning a client success contact to guide them through milestones</w:t>
      </w:r>
    </w:p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Project Overview</dc:title>
  <dc:creator>CosmoLab AI</dc:creator>
  <cp:lastModifiedBy>Un-named</cp:lastModifiedBy>
  <cp:revision>1</cp:revision>
  <dcterms:created xsi:type="dcterms:W3CDTF">2026-03-22T01:55:57.100Z</dcterms:created>
  <dcterms:modified xsi:type="dcterms:W3CDTF">2026-03-22T01:55:57.100Z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