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Demand Planning Launch Brief — Luminance Brightening Serum (Aura Collective)</w:t>
      </w:r>
    </w:p>
    <w:p>
      <w:pPr>
        <w:pStyle w:val="Heading2"/>
        <w:spacing w:after="120" w:before="300"/>
      </w:pPr>
      <w:r>
        <w:t xml:space="preserve">Product &amp; Project Summary</w:t>
      </w:r>
    </w:p>
    <w:p>
      <w:pPr>
        <w:spacing w:after="80"/>
      </w:pPr>
      <w:r>
        <w:t xml:space="preserve">Product name: Luminance Brightening Serum</w:t>
      </w:r>
    </w:p>
    <w:p>
      <w:pPr>
        <w:spacing w:after="80"/>
      </w:pPr>
      <w:r>
        <w:t xml:space="preserve">Client brand: Aura Collective</w:t>
      </w:r>
    </w:p>
    <w:p>
      <w:pPr>
        <w:spacing w:after="80"/>
      </w:pPr>
      <w:r>
        <w:t xml:space="preserve">Category: Skincare — face serum</w:t>
      </w:r>
    </w:p>
    <w:p>
      <w:pPr>
        <w:spacing w:after="80"/>
      </w:pPr>
      <w:r>
        <w:t xml:space="preserve">Project status: In formulation development — formula lock target week 8</w:t>
      </w:r>
    </w:p>
    <w:p>
      <w:pPr>
        <w:spacing w:after="80"/>
      </w:pPr>
      <w:r>
        <w:t xml:space="preserve">Launch market: United States (primary); Canada +6 months</w:t>
      </w:r>
    </w:p>
    <w:p>
      <w:pPr>
        <w:pStyle w:val="Heading2"/>
        <w:spacing w:after="120" w:before="300"/>
      </w:pPr>
      <w:r>
        <w:t xml:space="preserve">Launch Parameters</w:t>
      </w:r>
    </w:p>
    <w:p>
      <w:pPr>
        <w:spacing w:after="80"/>
      </w:pPr>
      <w:r>
        <w:t xml:space="preserve">Target US launch date: Month 6 from project start</w:t>
      </w:r>
    </w:p>
    <w:p>
      <w:pPr>
        <w:spacing w:after="80"/>
      </w:pPr>
      <w:r>
        <w:t xml:space="preserve">Distribution channels: DTC (Shopify-based, client-owned) — primary channel</w:t>
      </w:r>
    </w:p>
    <w:p>
      <w:pPr>
        <w:spacing w:after="80"/>
      </w:pPr>
      <w:r>
        <w:t xml:space="preserve">Secondary channel: Potential boutique retail placement; no confirmed retail accounts yet</w:t>
      </w:r>
    </w:p>
    <w:p>
      <w:pPr>
        <w:spacing w:after="80"/>
      </w:pPr>
      <w:r>
        <w:t xml:space="preserve">Packaging: 30mL glass dropper bottle, single SKU at launch</w:t>
      </w:r>
    </w:p>
    <w:p>
      <w:pPr>
        <w:pStyle w:val="Heading2"/>
        <w:spacing w:after="120" w:before="300"/>
      </w:pPr>
      <w:r>
        <w:t xml:space="preserve">Volume Forecast</w:t>
      </w:r>
    </w:p>
    <w:p>
      <w:pPr>
        <w:spacing w:after="80"/>
      </w:pPr>
      <w:r>
        <w:t xml:space="preserve">Initial stocking quantity: 5,000 units</w:t>
      </w:r>
    </w:p>
    <w:p>
      <w:pPr>
        <w:spacing w:after="80"/>
      </w:pPr>
      <w:r>
        <w:t xml:space="preserve">Expected monthly run rate by month 6: 15,000–20,000 units</w:t>
      </w:r>
    </w:p>
    <w:p>
      <w:pPr>
        <w:spacing w:after="80"/>
      </w:pPr>
      <w:r>
        <w:t xml:space="preserve">Year 1 volume estimate: ~120,000–150,000 units (assumes ramp from launch)</w:t>
      </w:r>
    </w:p>
    <w:p>
      <w:pPr>
        <w:spacing w:after="80"/>
      </w:pPr>
      <w:r>
        <w:t xml:space="preserve">Forecast basis: Client sales projections based on existing DTC audience size and planned paid media spend</w:t>
      </w:r>
    </w:p>
    <w:p>
      <w:pPr>
        <w:spacing w:after="80"/>
      </w:pPr>
      <w:r>
        <w:t xml:space="preserve">Note: This is a new brand launch — no historical sales data available. Forecast is marketing-model driven.</w:t>
      </w:r>
    </w:p>
    <w:p>
      <w:pPr>
        <w:pStyle w:val="Heading2"/>
        <w:spacing w:after="120" w:before="300"/>
      </w:pPr>
      <w:r>
        <w:t xml:space="preserve">SKU Structure</w:t>
      </w:r>
    </w:p>
    <w:p>
      <w:pPr>
        <w:spacing w:after="80"/>
      </w:pPr>
      <w:r>
        <w:t xml:space="preserve">SKUs at launch: 1 (30mL glass dropper)</w:t>
      </w:r>
    </w:p>
    <w:p>
      <w:pPr>
        <w:spacing w:after="80"/>
      </w:pPr>
      <w:r>
        <w:t xml:space="preserve">Future variants: Client has mentioned potential 50mL size for retail — not confirmed, not in Year 1 plan</w:t>
      </w:r>
    </w:p>
    <w:p>
      <w:pPr>
        <w:spacing w:after="80"/>
      </w:pPr>
      <w:r>
        <w:t xml:space="preserve">No secondary packaging variants planned at launch</w:t>
      </w:r>
    </w:p>
    <w:p>
      <w:pPr>
        <w:pStyle w:val="Heading2"/>
        <w:spacing w:after="120" w:before="300"/>
      </w:pPr>
      <w:r>
        <w:t xml:space="preserve">Seasonality &amp; Promotional Calendar</w:t>
      </w:r>
    </w:p>
    <w:p>
      <w:pPr>
        <w:spacing w:after="80"/>
      </w:pPr>
      <w:r>
        <w:t xml:space="preserve">No strong seasonal pattern expected for a brightening serum</w:t>
      </w:r>
    </w:p>
    <w:p>
      <w:pPr>
        <w:spacing w:after="80"/>
      </w:pPr>
      <w:r>
        <w:t xml:space="preserve">Known promotional events: Launch campaign planned (exact date TBD); Black Friday / Cyber Monday likely promotional push</w:t>
      </w:r>
    </w:p>
    <w:p>
      <w:pPr>
        <w:spacing w:after="80"/>
      </w:pPr>
      <w:r>
        <w:t xml:space="preserve">Influencer seeding: Client plans pre-launch influencer program — may generate short-term demand spike 2–4 weeks post-launch</w:t>
      </w:r>
    </w:p>
    <w:p>
      <w:pPr>
        <w:pStyle w:val="Heading2"/>
        <w:spacing w:after="120" w:before="300"/>
      </w:pPr>
      <w:r>
        <w:t xml:space="preserve">Supply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Tranexamic acid: Specialty active — confirm supplier lead time with R&amp;D; may require 4–6 week advance procurement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Glass dropper bottle: Client-sourced primary packaging — confirm lead time with client; Planning to track independently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Ascorbyl glucoside: Confirm availability and lead time with R&amp;D during formulation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MOQ: To be confirmed once formula is locked and BOM is finalized</w:t>
      </w:r>
    </w:p>
    <w:p>
      <w:pPr>
        <w:pStyle w:val="Heading2"/>
        <w:spacing w:after="120" w:before="300"/>
      </w:pPr>
      <w:r>
        <w:t xml:space="preserve">Assumptions &amp; Risks</w:t>
      </w:r>
    </w:p>
    <w:p>
      <w:pPr>
        <w:spacing w:after="80"/>
      </w:pPr>
      <w:r>
        <w:t xml:space="preserve">Key assumptions: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Client DTC audience conversion rate as projected — no validation data available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 placement does not materialize in Year 1 (upside risk if it does)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Formula lock achieved by week 8 — any delay directly compresses launch window</w:t>
      </w:r>
    </w:p>
    <w:p>
      <w:pPr>
        <w:spacing w:after="60"/>
      </w:pPr>
    </w:p>
    <w:p>
      <w:pPr>
        <w:spacing w:after="80"/>
      </w:pPr>
      <w:r>
        <w:t xml:space="preserve">Top demand risks: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New brand with no sales history — forecast confidence is low; plan for +/- 40% variance in months 1–3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Influencer-driven spike may create short-term stockout risk if not buffered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 pitch success (positive risk) could require rapid scale-up beyond current plan</w:t>
      </w:r>
    </w:p>
    <w:p>
      <w:pPr>
        <w:pStyle w:val="Heading2"/>
        <w:spacing w:after="120" w:before="300"/>
      </w:pPr>
      <w:r>
        <w:t xml:space="preserve">Planning Actions Required</w:t>
      </w:r>
    </w:p>
    <w:p>
      <w:pPr>
        <w:spacing w:after="80"/>
      </w:pPr>
      <w:r>
        <w:t xml:space="preserve">1. Confirm formula lock date from R&amp;D (target week 8) to finalize production scheduling</w:t>
      </w:r>
    </w:p>
    <w:p>
      <w:pPr>
        <w:spacing w:after="80"/>
      </w:pPr>
      <w:r>
        <w:t xml:space="preserve">2. Obtain BOM from R&amp;D post-formula lock to assess raw material lead times</w:t>
      </w:r>
    </w:p>
    <w:p>
      <w:pPr>
        <w:spacing w:after="80"/>
      </w:pPr>
      <w:r>
        <w:t xml:space="preserve">3. Coordinate with client on glass bottle packaging lead time and delivery schedule</w:t>
      </w:r>
    </w:p>
    <w:p>
      <w:pPr>
        <w:spacing w:after="80"/>
      </w:pPr>
      <w:r>
        <w:t xml:space="preserve">4. Set initial safety stock policy — recommend 4-week cover given forecast uncertainty</w:t>
      </w:r>
    </w:p>
    <w:p>
      <w:pPr>
        <w:spacing w:after="80"/>
      </w:pPr>
      <w:r>
        <w:t xml:space="preserve">5. Flag tranexamic acid as long-lead-time item to Procurement immediately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 Planning Launch Brief — Luminance Brightening Serum (Aura Collective)</dc:title>
  <dc:creator>CosmoLab AI</dc:creator>
  <cp:lastModifiedBy>Un-named</cp:lastModifiedBy>
  <cp:revision>1</cp:revision>
  <dcterms:created xsi:type="dcterms:W3CDTF">2026-03-21T22:58:31.664Z</dcterms:created>
  <dcterms:modified xsi:type="dcterms:W3CDTF">2026-03-21T22:58:31.664Z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