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Technical Formulation Brief — Luminance Brightening Serum (Indie Brand: Aura Collective)</w:t>
      </w:r>
    </w:p>
    <w:p>
      <w:pPr>
        <w:pStyle w:val="Heading2"/>
        <w:spacing w:after="120" w:before="300"/>
      </w:pPr>
      <w:r>
        <w:t xml:space="preserve">Project Overview</w:t>
      </w:r>
    </w:p>
    <w:p>
      <w:pPr>
        <w:spacing w:after="80"/>
      </w:pPr>
      <w:r>
        <w:t xml:space="preserve">Client brand: Aura Collective (indie brand, DTC-first, clean beauty positioning)</w:t>
      </w:r>
    </w:p>
    <w:p>
      <w:pPr>
        <w:spacing w:after="80"/>
      </w:pPr>
      <w:r>
        <w:t xml:space="preserve">Product concept: Lightweight brightening serum with visible dark spot reduction</w:t>
      </w:r>
    </w:p>
    <w:p>
      <w:pPr>
        <w:spacing w:after="80"/>
      </w:pPr>
      <w:r>
        <w:t xml:space="preserve">Target consumer: Women 28–45, hyperpigmentation concerns, clean beauty committed</w:t>
      </w:r>
    </w:p>
    <w:p>
      <w:pPr>
        <w:spacing w:after="80"/>
      </w:pPr>
      <w:r>
        <w:t xml:space="preserve">Product category: Skincare — face serum</w:t>
      </w:r>
    </w:p>
    <w:p>
      <w:pPr>
        <w:pStyle w:val="Heading2"/>
        <w:spacing w:after="120" w:before="300"/>
      </w:pPr>
      <w:r>
        <w:t xml:space="preserve">Product Specifications</w:t>
      </w:r>
    </w:p>
    <w:p>
      <w:pPr>
        <w:spacing w:after="80"/>
      </w:pPr>
      <w:r>
        <w:t xml:space="preserve">Format/texture: Lightweight water-based serum; fast-absorbing, non-greasy finish</w:t>
      </w:r>
    </w:p>
    <w:p>
      <w:pPr>
        <w:spacing w:after="80"/>
      </w:pPr>
      <w:r>
        <w:t xml:space="preserve">Key actives and target concentrations: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Niacinamide — 5% (brightening, pore minimizing)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Tranexamic acid — 3% (dark spot reduction)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Vitamin C (ascorbyl glucoside, stable form) — 2–3%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Hyaluronic acid (low and high MW) — 1% combined</w:t>
      </w:r>
    </w:p>
    <w:p>
      <w:pPr>
        <w:spacing w:after="80"/>
      </w:pPr>
      <w:r>
        <w:t xml:space="preserve">Fragrance: Fragrance-free (client hard requirement — clean beauty positioning)</w:t>
      </w:r>
    </w:p>
    <w:p>
      <w:pPr>
        <w:spacing w:after="80"/>
      </w:pPr>
      <w:r>
        <w:t xml:space="preserve">Color: Clear to very slightly pale yellow — no added color</w:t>
      </w:r>
    </w:p>
    <w:p>
      <w:pPr>
        <w:spacing w:after="80"/>
      </w:pPr>
      <w:r>
        <w:t xml:space="preserve">Key claims to support: Reduces appearance of dark spots in 8 weeks, brightens skin tone, minimizes pores</w:t>
      </w:r>
    </w:p>
    <w:p>
      <w:pPr>
        <w:pStyle w:val="Heading2"/>
        <w:spacing w:after="120" w:before="300"/>
      </w:pPr>
      <w:r>
        <w:t xml:space="preserve">Regulatory &amp; Market Requirements</w:t>
      </w:r>
    </w:p>
    <w:p>
      <w:pPr>
        <w:spacing w:after="80"/>
      </w:pPr>
      <w:r>
        <w:t xml:space="preserve">Target launch markets: United States (primary), Canada (secondary launch, 6 months post-US)</w:t>
      </w:r>
    </w:p>
    <w:p>
      <w:pPr>
        <w:spacing w:after="80"/>
      </w:pPr>
      <w:r>
        <w:t xml:space="preserve">US: FDA MoCRA compliance — cosmetic product; no drug claims; safety substantiation required</w:t>
      </w:r>
    </w:p>
    <w:p>
      <w:pPr>
        <w:spacing w:after="80"/>
      </w:pPr>
      <w:r>
        <w:t xml:space="preserve">Canada: Health Canada Cosmetic Regulations — INCI labeling, bilingual label (English/French)</w:t>
      </w:r>
    </w:p>
    <w:p>
      <w:pPr>
        <w:spacing w:after="80"/>
      </w:pPr>
      <w:r>
        <w:t xml:space="preserve">Claim substantiation required: '8-week dark spot reduction' claim requires clinical or consumer perception study</w:t>
      </w:r>
    </w:p>
    <w:p>
      <w:pPr>
        <w:spacing w:after="80"/>
      </w:pPr>
      <w:r>
        <w:t xml:space="preserve">No market-specific restricted ingredient concerns identified for niacinamide or tranexamic acid at target concentrations — confirm ascorbyl glucoside status in Canada</w:t>
      </w:r>
    </w:p>
    <w:p>
      <w:pPr>
        <w:pStyle w:val="Heading2"/>
        <w:spacing w:after="120" w:before="300"/>
      </w:pPr>
      <w:r>
        <w:t xml:space="preserve">Packaging Constraints</w:t>
      </w:r>
    </w:p>
    <w:p>
      <w:pPr>
        <w:spacing w:after="80"/>
      </w:pPr>
      <w:r>
        <w:t xml:space="preserve">Primary container: 30mL glass dropper bottle (client has sourced — R&amp;D to confirm compatibility)</w:t>
      </w:r>
    </w:p>
    <w:p>
      <w:pPr>
        <w:spacing w:after="80"/>
      </w:pPr>
      <w:r>
        <w:t xml:space="preserve">Closure: Pipette dropper</w:t>
      </w:r>
    </w:p>
    <w:p>
      <w:pPr>
        <w:spacing w:after="80"/>
      </w:pPr>
      <w:r>
        <w:t xml:space="preserve">Key constraint: Glass packaging — formula must be tested for glass interaction; pH management critical</w:t>
      </w:r>
    </w:p>
    <w:p>
      <w:pPr>
        <w:spacing w:after="80"/>
      </w:pPr>
      <w:r>
        <w:t xml:space="preserve">No aerosol or pressurized packaging</w:t>
      </w:r>
    </w:p>
    <w:p>
      <w:pPr>
        <w:pStyle w:val="Heading2"/>
        <w:spacing w:after="120" w:before="300"/>
      </w:pPr>
      <w:r>
        <w:t xml:space="preserve">Development Parameters</w:t>
      </w:r>
    </w:p>
    <w:p>
      <w:pPr>
        <w:spacing w:after="80"/>
      </w:pPr>
      <w:r>
        <w:t xml:space="preserve">Target shelf life: 24 months from manufacture date</w:t>
      </w:r>
    </w:p>
    <w:p>
      <w:pPr>
        <w:spacing w:after="80"/>
      </w:pPr>
      <w:r>
        <w:t xml:space="preserve">Target pH: 5.5–6.0 (optimal for niacinamide stability and skin compatibility)</w:t>
      </w:r>
    </w:p>
    <w:p>
      <w:pPr>
        <w:spacing w:after="80"/>
      </w:pPr>
      <w:r>
        <w:t xml:space="preserve">Known exclusions: No parabens, no synthetic fragrance, no mineral oil, no silicones (clean beauty formulation standard)</w:t>
      </w:r>
    </w:p>
    <w:p>
      <w:pPr>
        <w:spacing w:after="80"/>
      </w:pPr>
      <w:r>
        <w:t xml:space="preserve">Benchmark products provided by client: The Ordinary Niacinamide 10% + Zinc 1%, Paula's Choice 10% Niacinamide Booster</w:t>
      </w:r>
    </w:p>
    <w:p>
      <w:pPr>
        <w:spacing w:after="80"/>
      </w:pPr>
      <w:r>
        <w:t xml:space="preserve">Client note: Does NOT want to match benchmark exactly — wants a more sophisticated, skin-feel-optimized formula at lower niacinamide concentration with tranexamic acid synergy</w:t>
      </w:r>
    </w:p>
    <w:p>
      <w:pPr>
        <w:pStyle w:val="Heading2"/>
        <w:spacing w:after="120" w:before="300"/>
      </w:pPr>
      <w:r>
        <w:t xml:space="preserve">Commercial Context</w:t>
      </w:r>
    </w:p>
    <w:p>
      <w:pPr>
        <w:spacing w:after="80"/>
      </w:pPr>
      <w:r>
        <w:t xml:space="preserve">Estimated launch volume: 5,000 units (initial), scaling to 15,000–20,000 units/month by month 6</w:t>
      </w:r>
    </w:p>
    <w:p>
      <w:pPr>
        <w:spacing w:after="80"/>
      </w:pPr>
      <w:r>
        <w:t xml:space="preserve">Target launch date: 6 months from project start</w:t>
      </w:r>
    </w:p>
    <w:p>
      <w:pPr>
        <w:spacing w:after="80"/>
      </w:pPr>
      <w:r>
        <w:t xml:space="preserve">Budget: Development fee budget not disclosed; client is cost-sensitive on COGS — target formula cost under $4.50/unit at 10,000 unit scale</w:t>
      </w:r>
    </w:p>
    <w:p>
      <w:pPr>
        <w:spacing w:after="80"/>
      </w:pPr>
      <w:r>
        <w:t xml:space="preserve">Timeline pressure: Client has a retail pitch in 7 months — formula lock required by week 8</w:t>
      </w:r>
    </w:p>
    <w:p>
      <w:pPr>
        <w:pStyle w:val="Heading2"/>
        <w:spacing w:after="120" w:before="300"/>
      </w:pPr>
      <w:r>
        <w:t xml:space="preserve">Open Questions for R&amp;D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Confirm ascorbyl glucoside stability at target pH with niacinamide — niacin flush risk at pH above 6.5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Assess tranexamic acid supplier options and lead time — confirm availability at required purity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Confirm glass bottle compatibility — pH and any potential for leaching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Determine whether 8-week claim requires partnered clinical study or consumer panel — flag to Sales to discuss with client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Confirm preservative system compatible with clean beauty positioning (no phenoxyethanol preference from client — to confirm)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Formulation Brief — Luminance Brightening Serum (Indie Brand: Aura Collective)</dc:title>
  <dc:creator>CosmoLab AI</dc:creator>
  <cp:lastModifiedBy>Un-named</cp:lastModifiedBy>
  <cp:revision>1</cp:revision>
  <dcterms:created xsi:type="dcterms:W3CDTF">2026-03-21T22:58:31.654Z</dcterms:created>
  <dcterms:modified xsi:type="dcterms:W3CDTF">2026-03-21T22:58:31.654Z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