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CCCCC" w:sz="1" w:space="4"/>
        </w:pBdr>
        <w:spacing w:after="200" w:before="400"/>
      </w:pPr>
      <w:r>
        <w:t xml:space="preserve">IT Systems Readiness Assessment</w:t>
      </w:r>
    </w:p>
    <w:p>
      <w:pPr>
        <w:pStyle w:val="Heading2"/>
        <w:spacing w:after="120" w:before="300"/>
      </w:pPr>
      <w:r>
        <w:t xml:space="preserve">Executive Summary</w:t>
      </w:r>
    </w:p>
    <w:p>
      <w:pPr>
        <w:spacing w:after="80"/>
      </w:pPr>
      <w:r>
        <w:t xml:space="preserve">This CM operates a mid-maturity technology stack with three systemic risk areas requiring prioritized investment: (1) formulation management automation gaps in Coptis that are creating regulatory dossier bottlenecks at scale; (2) a custom spreadsheet-based LIMS with documented data integrity risks in micro transcription and CoA generation; and (3) a MasterControl QMS that is significantly under-utilized due to poor initial configuration, resulting in CAPA and change control processes running outside the system. The company has strong executive sponsorship and a credible $400–600K budget for transformation.</w:t>
      </w:r>
    </w:p>
    <w:p>
      <w:pPr>
        <w:pStyle w:val="Heading2"/>
        <w:spacing w:after="120" w:before="300"/>
      </w:pPr>
      <w:r>
        <w:t xml:space="preserve">System Landscape Overview</w:t>
      </w:r>
    </w:p>
    <w:p>
      <w:pPr>
        <w:spacing w:after="80"/>
      </w:pPr>
      <w:r>
        <w:t xml:space="preserve">PLM / Formulation Management: Coptis — 8 years old — Readiness Score: 2/5</w:t>
      </w:r>
    </w:p>
    <w:p>
      <w:pPr>
        <w:spacing w:after="80"/>
      </w:pPr>
      <w:r>
        <w:t xml:space="preserve">Shop Floor / MES: RedZone (2 of 4 lines) + paper batch records (2 lines) — Readiness Score: 2/5</w:t>
      </w:r>
    </w:p>
    <w:p>
      <w:pPr>
        <w:spacing w:after="80"/>
      </w:pPr>
      <w:r>
        <w:t xml:space="preserve">ERP: NetSuite — 3 years old — Readiness Score: 3/5</w:t>
      </w:r>
    </w:p>
    <w:p>
      <w:pPr>
        <w:spacing w:after="80"/>
      </w:pPr>
      <w:r>
        <w:t xml:space="preserve">LIMS: Custom internal spreadsheet system — 5 years old — Readiness Score: 1/5</w:t>
      </w:r>
    </w:p>
    <w:p>
      <w:pPr>
        <w:spacing w:after="80"/>
      </w:pPr>
      <w:r>
        <w:t xml:space="preserve">QMS: MasterControl (40% utilized) — Readiness Score: 2/5</w:t>
      </w:r>
    </w:p>
    <w:p>
      <w:pPr>
        <w:pStyle w:val="Heading2"/>
        <w:spacing w:after="120" w:before="300"/>
      </w:pPr>
      <w:r>
        <w:t xml:space="preserve">PLM / Formulation Management</w:t>
      </w:r>
    </w:p>
    <w:p>
      <w:pPr>
        <w:spacing w:after="80"/>
      </w:pPr>
      <w:r>
        <w:t xml:space="preserve">Current state: Coptis has been in place for 8 years. Core pain points are formula versioning management (clunky for multi-iteration products) and manual regulatory dossier generation, which costs an estimated 2–3 days per new product launch across 40+ launches annually — approximately 80–120 person-days per year lost to manual dossier work.</w:t>
      </w:r>
    </w:p>
    <w:p>
      <w:pPr>
        <w:spacing w:after="80"/>
      </w:pPr>
      <w:r>
        <w:t xml:space="preserve">Ithos evaluation: Demo completed 6 months ago; formulation team favors migration; IT hesitant due to migration complexity and cost.</w:t>
      </w:r>
    </w:p>
    <w:p>
      <w:pPr>
        <w:spacing w:after="80"/>
      </w:pPr>
      <w:r>
        <w:t xml:space="preserve">Gap: No automated regulatory dossier output (EU safety assessment, MoCRA safety substantiation); manual process at scale is unsustainable and MoCRA-exposed.</w:t>
      </w:r>
    </w:p>
    <w:p>
      <w:pPr>
        <w:pStyle w:val="Heading2"/>
        <w:spacing w:after="120" w:before="300"/>
      </w:pPr>
      <w:r>
        <w:t xml:space="preserve">Shop Floor &amp; MES</w:t>
      </w:r>
    </w:p>
    <w:p>
      <w:pPr>
        <w:spacing w:after="80"/>
      </w:pPr>
      <w:r>
        <w:t xml:space="preserve">Current state: RedZone active on 2 of 4 lines; paper batch records on OTC drug lines (2 lines).</w:t>
      </w:r>
    </w:p>
    <w:p>
      <w:pPr>
        <w:spacing w:after="80"/>
      </w:pPr>
      <w:r>
        <w:t xml:space="preserve">OTC line gap: Paper batch records for FDA-regulated OTC drug lines carry significant compliance risk. Electronic batch records require FDA 21 CFR Part 11 compliance (audit trails, access controls, record integrity) in addition to cGMP (21 CFR Part 211) requirements.</w:t>
      </w:r>
    </w:p>
    <w:p>
      <w:pPr>
        <w:spacing w:after="80"/>
      </w:pPr>
      <w:r>
        <w:t xml:space="preserve">RedZone OTC path: RedZone supports compliant electronic batch record configurations for drug manufacturing, but requires proper IQ/OQ/PQ validation and integration with the quality system. A targeted RedZone engagement is needed to scope the OTC line implementation.</w:t>
      </w:r>
    </w:p>
    <w:p>
      <w:pPr>
        <w:pStyle w:val="Heading2"/>
        <w:spacing w:after="120" w:before="300"/>
      </w:pPr>
      <w:r>
        <w:t xml:space="preserve">LIMS &amp; Lab Data Management</w:t>
      </w:r>
    </w:p>
    <w:p>
      <w:pPr>
        <w:spacing w:after="80"/>
      </w:pPr>
      <w:r>
        <w:t xml:space="preserve">Current state: Custom Excel-based LIMS. Stability data managed per-project in individual workbooks. Micro results manually transcribed from contract lab. CoA generation via Word template with manual result entry.</w:t>
      </w:r>
    </w:p>
    <w:p>
      <w:pPr>
        <w:spacing w:after="80"/>
      </w:pPr>
      <w:r>
        <w:t xml:space="preserve">Data integrity risk: HIGH. Manual transcription between external lab and internal spreadsheet creates FDA 21 CFR Part 11 / data integrity exposure. Documented transcription errors have occurred. As MoCRA and OTC compliance scrutiny increases, this system is the highest regulatory risk point in the IT landscape.</w:t>
      </w:r>
    </w:p>
    <w:p>
      <w:pPr>
        <w:spacing w:after="80"/>
      </w:pPr>
      <w:r>
        <w:t xml:space="preserve">Recommendation urgency: Replace within 12 months — this is the highest-priority system investment.</w:t>
      </w:r>
    </w:p>
    <w:p>
      <w:pPr>
        <w:pStyle w:val="Heading2"/>
        <w:spacing w:after="120" w:before="300"/>
      </w:pPr>
      <w:r>
        <w:t xml:space="preserve">QMS Assessment</w:t>
      </w:r>
    </w:p>
    <w:p>
      <w:pPr>
        <w:spacing w:after="80"/>
      </w:pPr>
      <w:r>
        <w:t xml:space="preserve">Current state: MasterControl deployed but only 40% utilized. CAPA module not used in practice — deviations are raised but corrective actions tracked in email and spreadsheets. Change control workflow configured incorrectly and routinely bypassed. Supplier document management outside the system entirely.</w:t>
      </w:r>
    </w:p>
    <w:p>
      <w:pPr>
        <w:spacing w:after="80"/>
      </w:pPr>
      <w:r>
        <w:t xml:space="preserve">Compliance risk: Working around a QMS creates a dual-record situation — the system shows one state, actual practice shows another. This is a high-audit-risk configuration. FDA investigators and third-party auditors regularly identify QMS workarounds as significant findings.</w:t>
      </w:r>
    </w:p>
    <w:p>
      <w:pPr>
        <w:spacing w:after="80"/>
      </w:pPr>
      <w:r>
        <w:t xml:space="preserve">Path forward: MasterControl reconfiguration is the right first step — replace the workflows, mandate CAPA closure in-system, and migrate supplier documents. Full replacement is not warranted; the system is capable but poorly deployed.</w:t>
      </w:r>
    </w:p>
    <w:p>
      <w:pPr>
        <w:pStyle w:val="Heading2"/>
        <w:spacing w:after="120" w:before="300"/>
      </w:pPr>
      <w:r>
        <w:t xml:space="preserve">Critical Risk Register</w:t>
      </w:r>
    </w:p>
    <w:p>
      <w:pPr>
        <w:spacing w:after="80"/>
      </w:pPr>
      <w:r>
        <w:t xml:space="preserve">Risk 1: LIMS data integrity — manual transcription of lab results — Severity: HIGH — Action: Begin LIMS replacement evaluation immediately; interim control: dual-check transcription process</w:t>
      </w:r>
    </w:p>
    <w:p>
      <w:pPr>
        <w:spacing w:after="80"/>
      </w:pPr>
      <w:r>
        <w:t xml:space="preserve">Risk 2: OTC paper batch records — 21 CFR Part 211 / Part 11 exposure — Severity: HIGH — Action: Scope RedZone OTC implementation; interim: ensure paper records are fully complete and reviewed</w:t>
      </w:r>
    </w:p>
    <w:p>
      <w:pPr>
        <w:spacing w:after="80"/>
      </w:pPr>
      <w:r>
        <w:t xml:space="preserve">Risk 3: QMS CAPA not in-system — audit-risk documentation gap — Severity: HIGH — Action: MasterControl reconfiguration project within 90 days</w:t>
      </w:r>
    </w:p>
    <w:p>
      <w:pPr>
        <w:spacing w:after="80"/>
      </w:pPr>
      <w:r>
        <w:t xml:space="preserve">Risk 4: Coptis dossier bottleneck — regulatory substantiation manual at scale — Severity: MEDIUM — Action: Ithos decision within 6 months</w:t>
      </w:r>
    </w:p>
    <w:p>
      <w:pPr>
        <w:spacing w:after="80"/>
      </w:pPr>
      <w:r>
        <w:t xml:space="preserve">Risk 5: Unsanctioned AI tool use (ChatGPT) — data security and IP risk — Severity: MEDIUM — Action: Establish AI usage policy within 30 days</w:t>
      </w:r>
    </w:p>
    <w:p>
      <w:pPr>
        <w:pageBreakBefore/>
      </w:pPr>
    </w:p>
    <w:p>
      <w:pPr>
        <w:pStyle w:val="Heading1"/>
        <w:pBdr>
          <w:bottom w:val="single" w:color="CCCCCC" w:sz="1" w:space="4"/>
        </w:pBdr>
        <w:spacing w:after="200" w:before="400"/>
      </w:pPr>
      <w:r>
        <w:t xml:space="preserve">Digital Transformation Roadmap</w:t>
      </w:r>
    </w:p>
    <w:p>
      <w:pPr>
        <w:pStyle w:val="Heading2"/>
        <w:spacing w:after="120" w:before="300"/>
      </w:pPr>
      <w:r>
        <w:t xml:space="preserve">Roadmap Overview</w:t>
      </w:r>
    </w:p>
    <w:p>
      <w:pPr>
        <w:spacing w:after="80"/>
      </w:pPr>
      <w:r>
        <w:t xml:space="preserve">This roadmap is sequenced by risk-and-impact priority, not ease. The three areas with the highest compliance risk and operational cost are addressed first: LIMS replacement, QMS remediation, and OTC batch record digitization. The Coptis/Ithos PLM decision, while strategically important, does not carry the same immediate compliance risk and is sequenced at 6 months. AI tooling is sequenced last — after the foundational data infrastructure is improved — to ensure AI tools are built on clean, reliable data.</w:t>
      </w:r>
    </w:p>
    <w:p>
      <w:pPr>
        <w:pStyle w:val="Heading2"/>
        <w:spacing w:after="120" w:before="300"/>
      </w:pPr>
      <w:r>
        <w:t xml:space="preserve">90-Day Quick Wins</w:t>
      </w:r>
    </w:p>
    <w:p>
      <w:pPr>
        <w:spacing w:after="80"/>
      </w:pPr>
      <w:r>
        <w:t xml:space="preserve">1. Establish AI usage policy — formalize acceptable use of AI tools (ChatGPT, etc.); assign IT owner; communicate company-wide. Owner: IT Director. Cost: minimal.</w:t>
      </w:r>
    </w:p>
    <w:p>
      <w:pPr>
        <w:spacing w:after="80"/>
      </w:pPr>
      <w:r>
        <w:t xml:space="preserve">2. MasterControl CAPA and change control remediation — engage MasterControl implementation partner to reconfigure CAPA module and change control workflow; mandate in-system CAPA closure. Owner: VP Quality + IT. Cost: $20–40K consulting.</w:t>
      </w:r>
    </w:p>
    <w:p>
      <w:pPr>
        <w:spacing w:after="80"/>
      </w:pPr>
      <w:r>
        <w:t xml:space="preserve">3. LIMS vendor evaluation — issue RFP or begin demos for a commercial LIMS (LabVantage, STARLIMS, or mid-market options such as LabArchives or Qualio); prioritize vendors with cosmetic/OTC CM references. Owner: IT Director + VP R&amp;D. Cost: evaluation time only.</w:t>
      </w:r>
    </w:p>
    <w:p>
      <w:pPr>
        <w:spacing w:after="80"/>
      </w:pPr>
      <w:r>
        <w:t xml:space="preserve">4. RedZone OTC scoping — engage RedZone to scope 21 CFR Part 11 compliant electronic batch record implementation for OTC lines; get proposal and timeline. Owner: IT Director + VP Manufacturing. Cost: scoping only.</w:t>
      </w:r>
    </w:p>
    <w:p>
      <w:pPr>
        <w:pStyle w:val="Heading2"/>
        <w:spacing w:after="120" w:before="300"/>
      </w:pPr>
      <w:r>
        <w:t xml:space="preserve">6-Month Initiatives</w:t>
      </w:r>
    </w:p>
    <w:p>
      <w:pPr>
        <w:spacing w:after="80"/>
      </w:pPr>
      <w:r>
        <w:t xml:space="preserve">1. LIMS selection and implementation start — select vendor; begin implementation (phased: stability first, then micro/analytical, then CoA automation). Budget: $80–150K. Owner: IT + VP R&amp;D.</w:t>
      </w:r>
    </w:p>
    <w:p>
      <w:pPr>
        <w:spacing w:after="80"/>
      </w:pPr>
      <w:r>
        <w:t xml:space="preserve">2. Coptis vs. Ithos decision — complete business case; make go/no-go decision on Ithos migration; if go, begin migration planning and data audit. Budget: $150–250K for full migration. Owner: IT Director + VP R&amp;D.</w:t>
      </w:r>
    </w:p>
    <w:p>
      <w:pPr>
        <w:spacing w:after="80"/>
      </w:pPr>
      <w:r>
        <w:t xml:space="preserve">3. RedZone OTC implementation — execute IQ/OQ/PQ validated electronic batch record deployment on OTC lines. Budget: $60–100K. Owner: IT + VP Manufacturing + VP Quality.</w:t>
      </w:r>
    </w:p>
    <w:p>
      <w:pPr>
        <w:spacing w:after="80"/>
      </w:pPr>
      <w:r>
        <w:t xml:space="preserve">4. Supplier document migration to MasterControl — migrate supplier COAs, qualification records, and approved supplier list into MasterControl. Owner: VP Quality + IT. Cost: internal labor.</w:t>
      </w:r>
    </w:p>
    <w:p>
      <w:pPr>
        <w:pStyle w:val="Heading2"/>
        <w:spacing w:after="120" w:before="300"/>
      </w:pPr>
      <w:r>
        <w:t xml:space="preserve">12-Month Strategic Investments</w:t>
      </w:r>
    </w:p>
    <w:p>
      <w:pPr>
        <w:spacing w:after="80"/>
      </w:pPr>
      <w:r>
        <w:t xml:space="preserve">1. Ithos migration completion (if approved at 6 months) — full formula and ingredient data migration from Coptis; staff training; regulatory dossier automation go-live. Expected benefit: 80–120 person-days per year recovered from dossier work.</w:t>
      </w:r>
    </w:p>
    <w:p>
      <w:pPr>
        <w:spacing w:after="80"/>
      </w:pPr>
      <w:r>
        <w:t xml:space="preserve">2. LIMS full rollout — stability, micro, analytical, and CoA generation all running in the new LIMS; contract lab data integrated via API or structured import. Expected benefit: elimination of manual transcription errors; FDA data integrity risk resolved.</w:t>
      </w:r>
    </w:p>
    <w:p>
      <w:pPr>
        <w:spacing w:after="80"/>
      </w:pPr>
      <w:r>
        <w:t xml:space="preserve">3. AI pilot deployment — with clean LIMS and PLM data, launch first AI pilot (recommended: formula search and retrieval — see AI Build vs. Buy document). Budget: $30–60K. Owner: IT + VP R&amp;D.</w:t>
      </w:r>
    </w:p>
    <w:p>
      <w:pPr>
        <w:pStyle w:val="Heading2"/>
        <w:spacing w:after="120" w:before="300"/>
      </w:pPr>
      <w:r>
        <w:t xml:space="preserve">Coptis / Ithos Decision Path</w:t>
      </w:r>
    </w:p>
    <w:p>
      <w:pPr>
        <w:spacing w:after="80"/>
      </w:pPr>
      <w:r>
        <w:t xml:space="preserve">Recommended path: Proceed to Ithos migration. The 2–3 day/launch manual dossier work is a quantifiable, growing cost — at 40+ launches per year, you are paying for Ithos in avoided labor within 18 months. The formulation team's buy-in is a significant de-risker.</w:t>
      </w:r>
    </w:p>
    <w:p>
      <w:pPr>
        <w:spacing w:after="80"/>
      </w:pPr>
      <w:r>
        <w:t xml:space="preserve">Decision timeline: Complete internal business case by month 3; make go/no-go decision by month 6; begin migration by month 7 with target completion at month 12–14.</w:t>
      </w:r>
    </w:p>
    <w:p>
      <w:pPr>
        <w:spacing w:after="80"/>
      </w:pPr>
      <w:r>
        <w:t xml:space="preserve">Migration risk mitigation: Run Coptis and Ithos in parallel for 3 months; prioritize migrating the last 3 years of active formulas first; archive older formulas in read-only Coptis access.</w:t>
      </w:r>
    </w:p>
    <w:p>
      <w:pPr>
        <w:pStyle w:val="Heading2"/>
        <w:spacing w:after="120" w:before="300"/>
      </w:pPr>
      <w:r>
        <w:t xml:space="preserve">Implementation Sequencing Rationale</w:t>
      </w:r>
    </w:p>
    <w:p>
      <w:pPr>
        <w:spacing w:after="80"/>
      </w:pPr>
      <w:r>
        <w:t xml:space="preserve">LIMS before PLM: Data integrity risk is more immediate than formulation workflow efficiency. A LIMS incident could trigger regulatory action; a Coptis inefficiency costs time but not compliance standing.</w:t>
      </w:r>
    </w:p>
    <w:p>
      <w:pPr>
        <w:spacing w:after="80"/>
      </w:pPr>
      <w:r>
        <w:t xml:space="preserve">QMS remediation before new QMS: MasterControl is capable — the problem is configuration and discipline. Reconfiguring costs $20–40K; replacement would cost $200–400K and 12–18 months.</w:t>
      </w:r>
    </w:p>
    <w:p>
      <w:pPr>
        <w:spacing w:after="80"/>
      </w:pPr>
      <w:r>
        <w:t xml:space="preserve">AI last: AI tools built on spreadsheet LIMS data will produce unreliable outputs. Clean the data infrastructure first.</w:t>
      </w:r>
    </w:p>
    <w:p>
      <w:pPr>
        <w:pageBreakBefore/>
      </w:pPr>
    </w:p>
    <w:p>
      <w:pPr>
        <w:pStyle w:val="Heading1"/>
        <w:pBdr>
          <w:bottom w:val="single" w:color="CCCCCC" w:sz="1" w:space="4"/>
        </w:pBdr>
        <w:spacing w:after="200" w:before="400"/>
      </w:pPr>
      <w:r>
        <w:t xml:space="preserve">AI Build vs. Buy Recommendation</w:t>
      </w:r>
    </w:p>
    <w:p>
      <w:pPr>
        <w:pStyle w:val="Heading2"/>
        <w:spacing w:after="120" w:before="300"/>
      </w:pPr>
      <w:r>
        <w:t xml:space="preserve">Framework</w:t>
      </w:r>
    </w:p>
    <w:p>
      <w:pPr>
        <w:spacing w:after="80"/>
      </w:pPr>
      <w:r>
        <w:t xml:space="preserve">For a CM IT team of 4 with a $400–600K total transformation budget, the default position should be Buy or Partner — not Build. Internal build requires ongoing maintenance, security patching, and product management capability that a 4-person IT team cannot sustain while also running a transformation program. Build is appropriate only for narrow, high-IP use cases where no vendor solution exists and the business has a clear competitive advantage to protect.</w:t>
      </w:r>
    </w:p>
    <w:p>
      <w:pPr>
        <w:pStyle w:val="Heading2"/>
        <w:spacing w:after="120" w:before="300"/>
      </w:pPr>
      <w:r>
        <w:t xml:space="preserve">Use Case Analysis</w:t>
      </w:r>
    </w:p>
    <w:p>
      <w:pPr>
        <w:spacing w:after="80"/>
      </w:pPr>
      <w:r>
        <w:t xml:space="preserve">Formula Search &amp; Retrieval | Buy (Ithos native or add-on) | Ithos includes semantic formula search; avoid building a duplicate capability | Use Ithos built-in after migration</w:t>
      </w:r>
    </w:p>
    <w:p>
      <w:pPr>
        <w:spacing w:after="60"/>
      </w:pPr>
    </w:p>
    <w:p>
      <w:pPr>
        <w:spacing w:after="80"/>
      </w:pPr>
      <w:r>
        <w:t xml:space="preserve">Regulatory Pre-Screening | Buy (CosmoLab AI or equivalent SaaS) | Regulatory rules change frequently; maintaining a bespoke engine is costly | Evaluate CosmoLab AI regulatory flagging module</w:t>
      </w:r>
    </w:p>
    <w:p>
      <w:pPr>
        <w:spacing w:after="60"/>
      </w:pPr>
    </w:p>
    <w:p>
      <w:pPr>
        <w:spacing w:after="80"/>
      </w:pPr>
      <w:r>
        <w:t xml:space="preserve">Demand Forecasting | Buy (NetSuite AI add-on or Inventory Planner) | NetSuite has native or partner AI forecasting; no need to build | NetSuite Einstein or Inventory Planner SaaS</w:t>
      </w:r>
    </w:p>
    <w:p>
      <w:pPr>
        <w:spacing w:after="60"/>
      </w:pPr>
    </w:p>
    <w:p>
      <w:pPr>
        <w:spacing w:after="80"/>
      </w:pPr>
      <w:r>
        <w:t xml:space="preserve">Batch Record Anomaly Detection | Partner (RedZone AI features) | RedZone has native OEE anomaly detection in roadmap; leverage platform | RedZone built-in after OTC line deployment</w:t>
      </w:r>
    </w:p>
    <w:p>
      <w:pPr>
        <w:spacing w:after="60"/>
      </w:pPr>
    </w:p>
    <w:p>
      <w:pPr>
        <w:spacing w:after="80"/>
      </w:pPr>
      <w:r>
        <w:t xml:space="preserve">Stability Data Prediction | Defer | Requires clean LIMS data first; premature without data foundation | Revisit at month 18</w:t>
      </w:r>
    </w:p>
    <w:p>
      <w:pPr>
        <w:spacing w:after="60"/>
      </w:pPr>
    </w:p>
    <w:p>
      <w:pPr>
        <w:spacing w:after="80"/>
      </w:pPr>
      <w:r>
        <w:t xml:space="preserve">CoA Auto-Generation | Buy (LIMS native) | All commercial LIMS platforms include CoA generation; not a build case | Included in LIMS selection criteria</w:t>
      </w:r>
    </w:p>
    <w:p>
      <w:pPr>
        <w:spacing w:after="60"/>
      </w:pPr>
    </w:p>
    <w:p>
      <w:pPr>
        <w:spacing w:after="80"/>
      </w:pPr>
      <w:r>
        <w:t xml:space="preserve">Supplier Qualification Automation | Buy (MasterControl vendor portal or add-on) | MasterControl has supplier portal capability — activate it | Phase 2 of MasterControl remediation</w:t>
      </w:r>
    </w:p>
    <w:p>
      <w:pPr>
        <w:spacing w:after="60"/>
      </w:pPr>
    </w:p>
    <w:p>
      <w:pPr>
        <w:spacing w:after="80"/>
      </w:pPr>
      <w:r>
        <w:t xml:space="preserve">Customer Inquiry Routing | Defer | Not a current bottleneck based on session; no AI investment justified yet | Revisit if customer volume grows significantly</w:t>
      </w:r>
    </w:p>
    <w:p>
      <w:pPr>
        <w:spacing w:after="60"/>
      </w:pPr>
    </w:p>
    <w:p>
      <w:pPr>
        <w:spacing w:after="80"/>
      </w:pPr>
      <w:r>
        <w:t xml:space="preserve">Claim Substantiation Assistance | Partner (regulatory AI vendor) | Requires regulatory expertise baked into model; not a build case for IT | Evaluate specialist vendors</w:t>
      </w:r>
    </w:p>
    <w:p>
      <w:pPr>
        <w:spacing w:after="60"/>
      </w:pPr>
    </w:p>
    <w:p>
      <w:pPr>
        <w:spacing w:after="80"/>
      </w:pPr>
      <w:r>
        <w:t xml:space="preserve">Internal Knowledge Search (formulas, SOPs, specs) | Buy (Microsoft Copilot / SharePoint AI) | Company likely already has M365 licensing; Copilot adds AI search across SharePoint/Teams | M365 Copilot — estimated $30/user/month</w:t>
      </w:r>
    </w:p>
    <w:p>
      <w:pPr>
        <w:pStyle w:val="Heading2"/>
        <w:spacing w:after="120" w:before="300"/>
      </w:pPr>
      <w:r>
        <w:t xml:space="preserve">Prioritized Implementation Order</w:t>
      </w:r>
    </w:p>
    <w:p>
      <w:pPr>
        <w:spacing w:after="80"/>
      </w:pPr>
      <w:r>
        <w:t xml:space="preserve">Priority 1 — Formula Search (Ithos): Directly addresses the #1 stated pain point (dossier bottleneck); included in Ithos migration cost; no separate investment.</w:t>
      </w:r>
    </w:p>
    <w:p>
      <w:pPr>
        <w:spacing w:after="80"/>
      </w:pPr>
      <w:r>
        <w:t xml:space="preserve">Priority 2 — CoA Auto-Generation (LIMS native): Directly addresses the #2 stated pain point; included in LIMS selection criteria; no separate AI investment.</w:t>
      </w:r>
    </w:p>
    <w:p>
      <w:pPr>
        <w:spacing w:after="80"/>
      </w:pPr>
      <w:r>
        <w:t xml:space="preserve">Priority 3 — Internal Knowledge Search (M365 Copilot): Low cost, high utility for a 4-person IT team supporting a 40+ launch/year business; enables SOP and spec search across the organization.</w:t>
      </w:r>
    </w:p>
    <w:p>
      <w:pPr>
        <w:pStyle w:val="Heading2"/>
        <w:spacing w:after="120" w:before="300"/>
      </w:pPr>
      <w:r>
        <w:t xml:space="preserve">Internal Capability Assessment</w:t>
      </w:r>
    </w:p>
    <w:p>
      <w:pPr>
        <w:spacing w:after="80"/>
      </w:pPr>
      <w:r>
        <w:t xml:space="preserve">A 4-person IT team running a transformation program does not have capacity for bespoke AI development. Every hour spent on a custom build is an hour not spent on LIMS implementation or QMS remediation. The recommendation is categorical: Buy or Partner for all AI use cases in the next 18 months. Revisit build feasibility after the core systems transformation is complete and if the IT team grows.</w:t>
      </w:r>
    </w:p>
    <w:p>
      <w:pPr>
        <w:pStyle w:val="Heading2"/>
        <w:spacing w:after="120" w:before="300"/>
      </w:pPr>
      <w:r>
        <w:t xml:space="preserve">Key Risks</w:t>
      </w:r>
    </w:p>
    <w:p>
      <w:pPr>
        <w:pStyle w:val="ListParagraph"/>
        <w:numPr>
          <w:ilvl w:val="0"/>
          <w:numId w:val="1"/>
        </w:numPr>
        <w:spacing w:after="80"/>
      </w:pPr>
      <w:r>
        <w:t xml:space="preserve">• Over-investing in AI before fixing data infrastructure: AI tools trained on Excel-based LIMS data will produce low-quality outputs and erode trust in AI broadly. Fix LIMS first.</w:t>
      </w:r>
    </w:p>
    <w:p>
      <w:pPr>
        <w:pStyle w:val="ListParagraph"/>
        <w:numPr>
          <w:ilvl w:val="0"/>
          <w:numId w:val="1"/>
        </w:numPr>
        <w:spacing w:after="80"/>
      </w:pPr>
      <w:r>
        <w:t xml:space="preserve">• Shadow AI proliferation: Unsanctioned ChatGPT use is already occurring. Without a policy and a sanctioned alternative, employees will continue to use unsanctioned tools — including pasting formula and client data into public AI systems. Address immediately.</w:t>
      </w:r>
    </w:p>
    <w:p>
      <w:pPr>
        <w:pStyle w:val="ListParagraph"/>
        <w:numPr>
          <w:ilvl w:val="0"/>
          <w:numId w:val="1"/>
        </w:numPr>
        <w:spacing w:after="80"/>
      </w:pPr>
      <w:r>
        <w:t xml:space="preserve">• Vendor lock-in: Prefer SaaS/cloud AI tools with data portability over deeply embedded proprietary AI that would be costly to migrate away from.</w:t>
      </w:r>
    </w:p>
    <w:p>
      <w:pPr>
        <w:pageBreakBefore/>
      </w:pPr>
    </w:p>
    <w:p>
      <w:pPr>
        <w:pStyle w:val="Heading1"/>
        <w:pBdr>
          <w:bottom w:val="single" w:color="CCCCCC" w:sz="1" w:space="4"/>
        </w:pBdr>
        <w:spacing w:after="200" w:before="400"/>
      </w:pPr>
      <w:r>
        <w:t xml:space="preserve">Integration Architecture Brief</w:t>
      </w:r>
    </w:p>
    <w:p>
      <w:pPr>
        <w:pStyle w:val="Heading2"/>
        <w:spacing w:after="120" w:before="300"/>
      </w:pPr>
      <w:r>
        <w:t xml:space="preserve">Current Integration State</w:t>
      </w:r>
    </w:p>
    <w:p>
      <w:pPr>
        <w:spacing w:after="80"/>
      </w:pPr>
      <w:r>
        <w:t xml:space="preserve">Based on the assessment conversation, the current integration landscape has significant gaps:</w:t>
      </w:r>
    </w:p>
    <w:p>
      <w:pPr>
        <w:pStyle w:val="ListParagraph"/>
        <w:numPr>
          <w:ilvl w:val="0"/>
          <w:numId w:val="1"/>
        </w:numPr>
        <w:spacing w:after="80"/>
      </w:pPr>
      <w:r>
        <w:t xml:space="preserve">• Coptis and MasterControl: not integrated — formula and ingredient data does not flow to QMS</w:t>
      </w:r>
    </w:p>
    <w:p>
      <w:pPr>
        <w:pStyle w:val="ListParagraph"/>
        <w:numPr>
          <w:ilvl w:val="0"/>
          <w:numId w:val="1"/>
        </w:numPr>
        <w:spacing w:after="80"/>
      </w:pPr>
      <w:r>
        <w:t xml:space="preserve">• LIMS (spreadsheet): completely isolated — no inbound data from contract lab, no outbound data to ERP or QMS</w:t>
      </w:r>
    </w:p>
    <w:p>
      <w:pPr>
        <w:pStyle w:val="ListParagraph"/>
        <w:numPr>
          <w:ilvl w:val="0"/>
          <w:numId w:val="1"/>
        </w:numPr>
        <w:spacing w:after="80"/>
      </w:pPr>
      <w:r>
        <w:t xml:space="preserve">• RedZone and NetSuite: not confirmed integrated — production actuals may not flow to ERP automatically</w:t>
      </w:r>
    </w:p>
    <w:p>
      <w:pPr>
        <w:pStyle w:val="ListParagraph"/>
        <w:numPr>
          <w:ilvl w:val="0"/>
          <w:numId w:val="1"/>
        </w:numPr>
        <w:spacing w:after="80"/>
      </w:pPr>
      <w:r>
        <w:t xml:space="preserve">• MasterControl and NetSuite: not confirmed integrated — quality holds may not automatically update inventory availability</w:t>
      </w:r>
    </w:p>
    <w:p>
      <w:pPr>
        <w:spacing w:after="80"/>
      </w:pPr>
      <w:r>
        <w:t xml:space="preserve">Conclusion: This is a largely siloed system landscape. Data moves between systems via email, manual transcription, or spreadsheet exports.</w:t>
      </w:r>
    </w:p>
    <w:p>
      <w:pPr>
        <w:pStyle w:val="Heading2"/>
        <w:spacing w:after="120" w:before="300"/>
      </w:pPr>
      <w:r>
        <w:t xml:space="preserve">Recommended Integration Sequence</w:t>
      </w:r>
    </w:p>
    <w:p>
      <w:pPr>
        <w:spacing w:after="80"/>
      </w:pPr>
      <w:r>
        <w:t xml:space="preserve">Phase 1 (0–6 months): Fix the foundations before connecting systems. LIMS replacement and QMS remediation come first. Connecting a broken system to others spreads the problem.</w:t>
      </w:r>
    </w:p>
    <w:p>
      <w:pPr>
        <w:spacing w:after="80"/>
      </w:pPr>
      <w:r>
        <w:t xml:space="preserve">Phase 2 (6–12 months): Connect LIMS to ERP (NetSuite). When a batch is released by QC, the CoA and release status should flow to NetSuite automatically — eliminating the manual inventory release step.</w:t>
      </w:r>
    </w:p>
    <w:p>
      <w:pPr>
        <w:spacing w:after="80"/>
      </w:pPr>
      <w:r>
        <w:t xml:space="preserve">Phase 3 (12–18 months): Connect PLM (Ithos) to QMS (MasterControl). Formula changes should trigger change control notifications automatically. Ingredient regulatory status should inform deviation investigation context.</w:t>
      </w:r>
    </w:p>
    <w:p>
      <w:pPr>
        <w:spacing w:after="80"/>
      </w:pPr>
      <w:r>
        <w:t xml:space="preserve">Phase 4 (18–24 months): Connect MES (RedZone) to ERP. Production actuals, OEE data, and batch completion should update NetSuite work orders without manual entry.</w:t>
      </w:r>
    </w:p>
    <w:p>
      <w:pPr>
        <w:pStyle w:val="Heading2"/>
        <w:spacing w:after="120" w:before="300"/>
      </w:pPr>
      <w:r>
        <w:t xml:space="preserve">Integration Approach Options</w:t>
      </w:r>
    </w:p>
    <w:p>
      <w:pPr>
        <w:spacing w:after="80"/>
      </w:pPr>
      <w:r>
        <w:t xml:space="preserve">For a 4-person IT team, the recommended approach is native connectors and vendor-supported integrations — not custom middleware:</w:t>
      </w:r>
    </w:p>
    <w:p>
      <w:pPr>
        <w:pStyle w:val="ListParagraph"/>
        <w:numPr>
          <w:ilvl w:val="0"/>
          <w:numId w:val="1"/>
        </w:numPr>
        <w:spacing w:after="80"/>
      </w:pPr>
      <w:r>
        <w:t xml:space="preserve">• LIMS → NetSuite: Most commercial LIMS platforms offer a NetSuite connector or REST API. Use the vendor-supported connector. Do not build a custom integration.</w:t>
      </w:r>
    </w:p>
    <w:p>
      <w:pPr>
        <w:pStyle w:val="ListParagraph"/>
        <w:numPr>
          <w:ilvl w:val="0"/>
          <w:numId w:val="1"/>
        </w:numPr>
        <w:spacing w:after="80"/>
      </w:pPr>
      <w:r>
        <w:t xml:space="preserve">• Ithos → MasterControl: Ithos has a documented API; MasterControl supports webhooks and API triggers. A lightweight integration layer (Zapier for Business or a minimal custom API script) is sufficient — middleware platforms like MuleSoft are over-engineered for this use case at this company's size.</w:t>
      </w:r>
    </w:p>
    <w:p>
      <w:pPr>
        <w:pStyle w:val="ListParagraph"/>
        <w:numPr>
          <w:ilvl w:val="0"/>
          <w:numId w:val="1"/>
        </w:numPr>
        <w:spacing w:after="80"/>
      </w:pPr>
      <w:r>
        <w:t xml:space="preserve">• RedZone → NetSuite: RedZone offers native ERP integration — confirm NetSuite is on the supported list during the OTC scoping engagement.</w:t>
      </w:r>
    </w:p>
    <w:p>
      <w:pPr>
        <w:spacing w:after="80"/>
      </w:pPr>
      <w:r>
        <w:t xml:space="preserve">General principle: Prefer vendor-native integrations over custom builds. Every custom integration is a maintenance burden.</w:t>
      </w:r>
    </w:p>
    <w:p>
      <w:pPr>
        <w:pStyle w:val="Heading2"/>
        <w:spacing w:after="120" w:before="300"/>
      </w:pPr>
      <w:r>
        <w:t xml:space="preserve">Data Governance Principles</w:t>
      </w:r>
    </w:p>
    <w:p>
      <w:pPr>
        <w:spacing w:after="80"/>
      </w:pPr>
      <w:r>
        <w:t xml:space="preserve">1. Single source of truth per data type: Formula specifications live in PLM (Ithos). Batch records live in MES (RedZone) and QMS (MasterControl). Financial data lives in ERP (NetSuite). No data type should have two authoritative sources.</w:t>
      </w:r>
    </w:p>
    <w:p>
      <w:pPr>
        <w:spacing w:after="80"/>
      </w:pPr>
      <w:r>
        <w:t xml:space="preserve">2. No manual transcription as a permanent process: If data is being manually copied between systems, that is a gap in the integration architecture that must be closed — not a process to be improved with better checklists.</w:t>
      </w:r>
    </w:p>
    <w:p>
      <w:pPr>
        <w:spacing w:after="80"/>
      </w:pPr>
      <w:r>
        <w:t xml:space="preserve">3. Data integrity by design: All systems that hold regulated data (LIMS, QMS, MES for OTC lines) must meet FDA 21 CFR Part 11 requirements: audit trails, access controls, and record integrity.</w:t>
      </w:r>
    </w:p>
    <w:p>
      <w:pPr>
        <w:spacing w:after="80"/>
      </w:pPr>
      <w:r>
        <w:t xml:space="preserve">4. Change-control-gated master data: Changes to formulas, specifications, and approved suppliers must flow through MasterControl change control before they take effect in downstream systems.</w:t>
      </w:r>
    </w:p>
    <w:p>
      <w:pPr>
        <w:spacing w:after="80"/>
      </w:pPr>
      <w:r>
        <w:t xml:space="preserve">5. Vendor data portability as a selection criterion: Do not select any system that cannot export your data in a standard format. Avoid lock-in.</w:t>
      </w:r>
    </w:p>
    <w:p>
      <w:pPr>
        <w:spacing w:after="80"/>
      </w:pPr>
      <w:r>
        <w:t xml:space="preserve">6. Staged validation: All systems used for regulated data require IQ/OQ/PQ validation before use in a GMP or GLP context. Build validation into the project plan and budget from day one.</w:t>
      </w:r>
    </w:p>
    <w:p>
      <w:pPr>
        <w:pStyle w:val="Heading2"/>
        <w:spacing w:after="120" w:before="300"/>
      </w:pPr>
      <w:r>
        <w:t xml:space="preserve">Recommended Next Steps</w:t>
      </w:r>
    </w:p>
    <w:p>
      <w:pPr>
        <w:spacing w:after="80"/>
      </w:pPr>
      <w:r>
        <w:t xml:space="preserve">1. Month 1: Issue LIMS RFP — include NetSuite integration capability as a scored selection criterion. Shortlist to 2–3 vendors within 45 days.</w:t>
      </w:r>
    </w:p>
    <w:p>
      <w:pPr>
        <w:spacing w:after="80"/>
      </w:pPr>
      <w:r>
        <w:t xml:space="preserve">2. Month 1: Engage MasterControl implementation partner for CAPA and change control reconfiguration — target go-live in 90 days.</w:t>
      </w:r>
    </w:p>
    <w:p>
      <w:pPr>
        <w:spacing w:after="80"/>
      </w:pPr>
      <w:r>
        <w:t xml:space="preserve">3. Month 2: Brief the Ithos team on migration scope — request a data migration estimate based on your Coptis formula count and ingredient library size.</w:t>
      </w:r>
    </w:p>
    <w:p>
      <w:pPr>
        <w:spacing w:after="80"/>
      </w:pPr>
      <w:r>
        <w:t xml:space="preserve">4. Month 2: Engage RedZone for OTC line scoping — request a 21 CFR Part 11 compliant implementation proposal including validation deliverables.</w:t>
      </w:r>
    </w:p>
    <w:p>
      <w:pPr>
        <w:spacing w:after="80"/>
      </w:pPr>
      <w:r>
        <w:t xml:space="preserve">5. Month 1: Establish and communicate AI usage policy — this is a 1–2 week task with no budget requirement and immediate risk reduction value.</w:t>
      </w: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Systems Readiness Assessment</dc:title>
  <dc:creator>CosmoLab AI</dc:creator>
  <cp:lastModifiedBy>Un-named</cp:lastModifiedBy>
  <cp:revision>1</cp:revision>
  <dcterms:created xsi:type="dcterms:W3CDTF">2026-03-22T02:40:15.017Z</dcterms:created>
  <dcterms:modified xsi:type="dcterms:W3CDTF">2026-03-22T02:40:15.018Z</dcterms:modified>
</cp:coreProperties>
</file>

<file path=docProps/custom.xml><?xml version="1.0" encoding="utf-8"?>
<Properties xmlns="http://schemas.openxmlformats.org/officeDocument/2006/custom-properties" xmlns:vt="http://schemas.openxmlformats.org/officeDocument/2006/docPropsVTypes"/>
</file>