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Regulatory Maturity Assessment</w:t>
      </w:r>
    </w:p>
    <w:p>
      <w:pPr>
        <w:pStyle w:val="Heading2"/>
        <w:spacing w:after="120" w:before="300"/>
      </w:pPr>
      <w:r>
        <w:t xml:space="preserve">Executive Summary</w:t>
      </w:r>
    </w:p>
    <w:p>
      <w:pPr>
        <w:spacing w:after="80"/>
      </w:pPr>
      <w:r>
        <w:t xml:space="preserve">This CM operates with a partially mature regulatory program that is managing significant simultaneous compliance obligations: US FDA cosmetics (MoCRA), FDA OTC drug cGMP, EU Cosmetics Regulation, and Health Canada. Three areas carry immediate compliance risk: (1) 40% of the cosmetic portfolio is not yet listed in the FDA CARES portal in violation of MoCRA; (2) EU Article 10 safety assessments are held by a distributor but have never been reviewed by the manufacturer, creating joint liability exposure; and (3) an open CAPA backlog from the prior FDA 483 observation remains unresolved, creating repeat observation risk at the next inspection.</w:t>
      </w:r>
    </w:p>
    <w:p>
      <w:pPr>
        <w:pStyle w:val="Heading2"/>
        <w:spacing w:after="120" w:before="300"/>
      </w:pPr>
      <w:r>
        <w:t xml:space="preserve">Maturity Scorecard</w:t>
      </w:r>
    </w:p>
    <w:p>
      <w:pPr>
        <w:spacing w:after="80"/>
      </w:pPr>
      <w:r>
        <w:t xml:space="preserve">MoCRA Compliance: 2/5 — Responsible person designated; 60% product listing complete; safety substantiation uncompiled</w:t>
      </w:r>
    </w:p>
    <w:p>
      <w:pPr>
        <w:spacing w:after="80"/>
      </w:pPr>
      <w:r>
        <w:t xml:space="preserve">FDA OTC Drug cGMP: 3/5 — Solid core cGMP; 483 history managed; CAPA backlog is the primary residual risk</w:t>
      </w:r>
    </w:p>
    <w:p>
      <w:pPr>
        <w:spacing w:after="80"/>
      </w:pPr>
      <w:r>
        <w:t xml:space="preserve">EU Cosmetics Regulation: 2/5 — Distributor acting as RP; CPNP notifications delegated; Article 10 safety assessments not reviewed or retained by manufacturer</w:t>
      </w:r>
    </w:p>
    <w:p>
      <w:pPr>
        <w:spacing w:after="80"/>
      </w:pPr>
      <w:r>
        <w:t xml:space="preserve">LIMS Maturity: 1/5 — Spreadsheet-based; data integrity risks documented; manual transcription from contract lab</w:t>
      </w:r>
    </w:p>
    <w:p>
      <w:pPr>
        <w:spacing w:after="80"/>
      </w:pPr>
      <w:r>
        <w:t xml:space="preserve">QMS Effectiveness: 2/5 — MasterControl deployed but underutilized; CAPA closure gap identified in FDA inspection; open backlog</w:t>
      </w:r>
    </w:p>
    <w:p>
      <w:pPr>
        <w:spacing w:after="80"/>
      </w:pPr>
      <w:r>
        <w:t xml:space="preserve">Claim Substantiation: 2/5 — Safety data exists but not in formal dossier format; no systematic substantiation program</w:t>
      </w:r>
    </w:p>
    <w:p>
      <w:pPr>
        <w:spacing w:after="80"/>
      </w:pPr>
      <w:r>
        <w:t xml:space="preserve">Regulatory Intelligence: 1/5 — Reactive only; no formal monitoring process; learned about MoCRA 6 months post-enactment</w:t>
      </w:r>
    </w:p>
    <w:p>
      <w:pPr>
        <w:pStyle w:val="Heading2"/>
        <w:spacing w:after="120" w:before="300"/>
      </w:pPr>
      <w:r>
        <w:t xml:space="preserve">MoCRA Compliance Deep Dive</w:t>
      </w:r>
    </w:p>
    <w:p>
      <w:pPr>
        <w:spacing w:after="80"/>
      </w:pPr>
      <w:r>
        <w:t xml:space="preserve">Status:</w:t>
      </w:r>
    </w:p>
    <w:p>
      <w:pPr>
        <w:pStyle w:val="ListParagraph"/>
        <w:numPr>
          <w:ilvl w:val="0"/>
          <w:numId w:val="1"/>
        </w:numPr>
        <w:spacing w:after="80"/>
      </w:pPr>
      <w:r>
        <w:t xml:space="preserve">• Responsible person: Designated — compliant</w:t>
      </w:r>
    </w:p>
    <w:p>
      <w:pPr>
        <w:pStyle w:val="ListParagraph"/>
        <w:numPr>
          <w:ilvl w:val="0"/>
          <w:numId w:val="1"/>
        </w:numPr>
        <w:spacing w:after="80"/>
      </w:pPr>
      <w:r>
        <w:t xml:space="preserve">• Product listing: 60% complete — NON-COMPLIANT for unlisted products</w:t>
      </w:r>
    </w:p>
    <w:p>
      <w:pPr>
        <w:pStyle w:val="ListParagraph"/>
        <w:numPr>
          <w:ilvl w:val="0"/>
          <w:numId w:val="1"/>
        </w:numPr>
        <w:spacing w:after="80"/>
      </w:pPr>
      <w:r>
        <w:t xml:space="preserve">• Safety substantiation: Data exists but not in formal dossier format — AT RISK</w:t>
      </w:r>
    </w:p>
    <w:p>
      <w:pPr>
        <w:pStyle w:val="ListParagraph"/>
        <w:numPr>
          <w:ilvl w:val="0"/>
          <w:numId w:val="1"/>
        </w:numPr>
        <w:spacing w:after="80"/>
      </w:pPr>
      <w:r>
        <w:t xml:space="preserve">• Labeling: Not assessed in this session — VERIFY</w:t>
      </w:r>
    </w:p>
    <w:p>
      <w:pPr>
        <w:spacing w:after="60"/>
      </w:pPr>
    </w:p>
    <w:p>
      <w:pPr>
        <w:spacing w:after="80"/>
      </w:pPr>
      <w:r>
        <w:t xml:space="preserve">Gaps:</w:t>
      </w:r>
    </w:p>
    <w:p>
      <w:pPr>
        <w:pStyle w:val="ListParagraph"/>
        <w:numPr>
          <w:ilvl w:val="0"/>
          <w:numId w:val="1"/>
        </w:numPr>
        <w:spacing w:after="80"/>
      </w:pPr>
      <w:r>
        <w:t xml:space="preserve">• 40% product listing gap is a legal violation requiring immediate action. FDA CARES portal listing is required for all cosmetic products marketed in the US.</w:t>
      </w:r>
    </w:p>
    <w:p>
      <w:pPr>
        <w:pStyle w:val="ListParagraph"/>
        <w:numPr>
          <w:ilvl w:val="0"/>
          <w:numId w:val="1"/>
        </w:numPr>
        <w:spacing w:after="80"/>
      </w:pPr>
      <w:r>
        <w:t xml:space="preserve">• Safety substantiation: FDA has not begun broad enforcement, but the expectation is that substantiation is on file and organized. At 65% cosmetics volume, the substantiation gap represents material compliance risk.</w:t>
      </w:r>
    </w:p>
    <w:p>
      <w:pPr>
        <w:spacing w:after="60"/>
      </w:pPr>
    </w:p>
    <w:p>
      <w:pPr>
        <w:spacing w:after="80"/>
      </w:pPr>
      <w:r>
        <w:t xml:space="preserve">Urgency: Immediate for product listing completion. 6-month for substantiation dossier compilation.</w:t>
      </w:r>
    </w:p>
    <w:p>
      <w:pPr>
        <w:pStyle w:val="Heading2"/>
        <w:spacing w:after="120" w:before="300"/>
      </w:pPr>
      <w:r>
        <w:t xml:space="preserve">FDA OTC Drug Compliance</w:t>
      </w:r>
    </w:p>
    <w:p>
      <w:pPr>
        <w:spacing w:after="80"/>
      </w:pPr>
      <w:r>
        <w:t xml:space="preserve">cGMP posture: Generally solid. Batch records, specifications, and testing are in order per the inspection history.</w:t>
      </w:r>
    </w:p>
    <w:p>
      <w:pPr>
        <w:spacing w:after="60"/>
      </w:pPr>
    </w:p>
    <w:p>
      <w:pPr>
        <w:spacing w:after="80"/>
      </w:pPr>
      <w:r>
        <w:t xml:space="preserve">483 history: Two observations at last inspection (18 months ago): CAPA system — CAPAs not formally closed in QMS; Lab data integrity — raw data entries lacked contemporaneous dating.</w:t>
      </w:r>
    </w:p>
    <w:p>
      <w:pPr>
        <w:spacing w:after="60"/>
      </w:pPr>
    </w:p>
    <w:p>
      <w:pPr>
        <w:spacing w:after="80"/>
      </w:pPr>
      <w:r>
        <w:t xml:space="preserve">Current risk:</w:t>
      </w:r>
    </w:p>
    <w:p>
      <w:pPr>
        <w:pStyle w:val="ListParagraph"/>
        <w:numPr>
          <w:ilvl w:val="0"/>
          <w:numId w:val="1"/>
        </w:numPr>
        <w:spacing w:after="80"/>
      </w:pPr>
      <w:r>
        <w:t xml:space="preserve">• CAPA backlog: older investigations never formally closed in MasterControl. If FDA returns and finds these still open, this becomes a repeat observation — significantly higher regulatory weight than a first-time finding.</w:t>
      </w:r>
    </w:p>
    <w:p>
      <w:pPr>
        <w:pStyle w:val="ListParagraph"/>
        <w:numPr>
          <w:ilvl w:val="0"/>
          <w:numId w:val="1"/>
        </w:numPr>
        <w:spacing w:after="80"/>
      </w:pPr>
      <w:r>
        <w:t xml:space="preserve">• Lab data integrity: SOP updated and training documented — risk likely resolved. Maintain training records as evidence.</w:t>
      </w:r>
    </w:p>
    <w:p>
      <w:pPr>
        <w:spacing w:after="60"/>
      </w:pPr>
    </w:p>
    <w:p>
      <w:pPr>
        <w:spacing w:after="80"/>
      </w:pPr>
      <w:r>
        <w:t xml:space="preserve">Next inspection readiness: Moderate. Core cGMP is sound; CAPA backlog is the primary vulnerability.</w:t>
      </w:r>
    </w:p>
    <w:p>
      <w:pPr>
        <w:pStyle w:val="Heading2"/>
        <w:spacing w:after="120" w:before="300"/>
      </w:pPr>
      <w:r>
        <w:t xml:space="preserve">EU Regulatory Position</w:t>
      </w:r>
    </w:p>
    <w:p>
      <w:pPr>
        <w:spacing w:after="80"/>
      </w:pPr>
      <w:r>
        <w:t xml:space="preserve">Current structure: European distributor acts as EU Responsible Person; CPNP notifications handled by distributor.</w:t>
      </w:r>
    </w:p>
    <w:p>
      <w:pPr>
        <w:spacing w:after="60"/>
      </w:pPr>
    </w:p>
    <w:p>
      <w:pPr>
        <w:spacing w:after="80"/>
      </w:pPr>
      <w:r>
        <w:t xml:space="preserve">Critical gap: Article 10 Product Information Files (including safety assessments) are held by the distributor and have never been reviewed or retained by the manufacturer. As the manufacturing company, you have joint responsibility for product safety regardless of the RP arrangement. If a product is recalled or investigated, 'the distributor managed it' is not a defensible position with a market authority.</w:t>
      </w:r>
    </w:p>
    <w:p>
      <w:pPr>
        <w:spacing w:after="60"/>
      </w:pPr>
    </w:p>
    <w:p>
      <w:pPr>
        <w:spacing w:after="80"/>
      </w:pPr>
      <w:r>
        <w:t xml:space="preserve">Immediate action required: Request copies of all Article 10 safety assessments and CPNP notification confirmations from the distributor for all products distributed in Germany and France. Review for completeness and retain in your Quality Management System.</w:t>
      </w:r>
    </w:p>
    <w:p>
      <w:pPr>
        <w:pStyle w:val="Heading2"/>
        <w:spacing w:after="120" w:before="300"/>
      </w:pPr>
      <w:r>
        <w:t xml:space="preserve">Quality Systems Assessment</w:t>
      </w:r>
    </w:p>
    <w:p>
      <w:pPr>
        <w:spacing w:after="80"/>
      </w:pPr>
      <w:r>
        <w:t xml:space="preserve">QMS: MasterControl — 40% utilized. Key gaps: CAPA module not consistently used for older investigations (open backlog). Change control workflow poorly configured and routinely bypassed. Supplier documents managed outside the system.</w:t>
      </w:r>
    </w:p>
    <w:p>
      <w:pPr>
        <w:spacing w:after="60"/>
      </w:pPr>
    </w:p>
    <w:p>
      <w:pPr>
        <w:spacing w:after="80"/>
      </w:pPr>
      <w:r>
        <w:t xml:space="preserve">LIMS: Custom spreadsheet system — highest data integrity risk in the operation. Manual transcription from contract lab documented. CoA generation manual. Not compliant with FDA data integrity expectations for a company with OTC drug product lines.</w:t>
      </w:r>
    </w:p>
    <w:p>
      <w:pPr>
        <w:spacing w:after="60"/>
      </w:pPr>
    </w:p>
    <w:p>
      <w:pPr>
        <w:spacing w:after="80"/>
      </w:pPr>
      <w:r>
        <w:t xml:space="preserve">Supplier controls: Approved supplier list in spreadsheet. Skip-lot testing for most materials — RISK for OTC drug actives (FDA expects identity testing per lot). One prior mislabeling incident — no formal supplier qualification overhaul completed.</w:t>
      </w:r>
    </w:p>
    <w:p>
      <w:pPr>
        <w:pStyle w:val="Heading2"/>
        <w:spacing w:after="120" w:before="300"/>
      </w:pPr>
      <w:r>
        <w:t xml:space="preserve">Critical Risk Register</w:t>
      </w:r>
    </w:p>
    <w:p>
      <w:pPr>
        <w:spacing w:after="80"/>
      </w:pPr>
      <w:r>
        <w:t xml:space="preserve">Risk 1: MoCRA product listing gap (40% unlisted) — Severity: HIGH — Action: Complete CARES portal listing within 60 days. Assign dedicated resource.</w:t>
      </w:r>
    </w:p>
    <w:p>
      <w:pPr>
        <w:spacing w:after="80"/>
      </w:pPr>
      <w:r>
        <w:t xml:space="preserve">Risk 2: EU Article 10 safety assessments not retained — Severity: HIGH — Action: Request and review all EU safety assessment dossiers from distributor within 30 days.</w:t>
      </w:r>
    </w:p>
    <w:p>
      <w:pPr>
        <w:spacing w:after="80"/>
      </w:pPr>
      <w:r>
        <w:t xml:space="preserve">Risk 3: Open CAPA backlog from FDA 483 — Severity: HIGH — Action: Close all open CAPAs in MasterControl before next inspection. Set 90-day deadline.</w:t>
      </w:r>
    </w:p>
    <w:p>
      <w:pPr>
        <w:spacing w:after="80"/>
      </w:pPr>
      <w:r>
        <w:t xml:space="preserve">Risk 4: LIMS data integrity (manual transcription, spreadsheet system) — Severity: HIGH — Action: Begin LIMS replacement evaluation immediately.</w:t>
      </w:r>
    </w:p>
    <w:p>
      <w:pPr>
        <w:spacing w:after="80"/>
      </w:pPr>
      <w:r>
        <w:t xml:space="preserve">Risk 5: OTC drug active identity testing — skip-lot not FDA-compliant — Severity: MEDIUM-HIGH — Action: Implement lot-by-lot identity testing for OTC drug actives immediately.</w:t>
      </w:r>
    </w:p>
    <w:p>
      <w:pPr>
        <w:pageBreakBefore/>
      </w:pPr>
    </w:p>
    <w:p>
      <w:pPr>
        <w:pStyle w:val="Heading1"/>
        <w:pBdr>
          <w:bottom w:val="single" w:color="CCCCCC" w:sz="1" w:space="4"/>
        </w:pBdr>
        <w:spacing w:after="200" w:before="400"/>
      </w:pPr>
      <w:r>
        <w:t xml:space="preserve">Compliance Modernization Roadmap</w:t>
      </w:r>
    </w:p>
    <w:p>
      <w:pPr>
        <w:pStyle w:val="Heading2"/>
        <w:spacing w:after="120" w:before="300"/>
      </w:pPr>
      <w:r>
        <w:t xml:space="preserve">Roadmap Overview</w:t>
      </w:r>
    </w:p>
    <w:p>
      <w:pPr>
        <w:spacing w:after="80"/>
      </w:pPr>
      <w:r>
        <w:t xml:space="preserve">This roadmap is sequenced by regulatory risk, not implementation ease. Three items carry immediate legal or inspection risk and are addressed in the first 30–60 days regardless of resource constraints. Medium-term initiatives build compliance infrastructure. Long-term investments address systemic gaps in intelligence, systems, and supplier controls.</w:t>
      </w:r>
    </w:p>
    <w:p>
      <w:pPr>
        <w:pStyle w:val="Heading2"/>
        <w:spacing w:after="120" w:before="300"/>
      </w:pPr>
      <w:r>
        <w:t xml:space="preserve">Immediate Actions (0–90 Days)</w:t>
      </w:r>
    </w:p>
    <w:p>
      <w:pPr>
        <w:spacing w:after="80"/>
      </w:pPr>
      <w:r>
        <w:t xml:space="preserve">Action 1: Complete MoCRA product listing — Owner: Regulatory Affairs team. Deadline: 60 days. Resource: Dedicate one regulatory staff member full-time until complete. Success criteria: 100% of cosmetic portfolio listed in FDA CARES portal.</w:t>
      </w:r>
    </w:p>
    <w:p>
      <w:pPr>
        <w:spacing w:after="60"/>
      </w:pPr>
    </w:p>
    <w:p>
      <w:pPr>
        <w:spacing w:after="80"/>
      </w:pPr>
      <w:r>
        <w:t xml:space="preserve">Action 2: Obtain and review EU Article 10 safety assessments — Owner: VP Quality + Regulatory Affairs. Deadline: 30 days to request; 60 days to review and file. Success criteria: All Article 10 dossiers on file and reviewed; gaps documented and remediated.</w:t>
      </w:r>
    </w:p>
    <w:p>
      <w:pPr>
        <w:spacing w:after="60"/>
      </w:pPr>
    </w:p>
    <w:p>
      <w:pPr>
        <w:spacing w:after="80"/>
      </w:pPr>
      <w:r>
        <w:t xml:space="preserve">Action 3: Close open CAPA backlog in MasterControl — Owner: VP Quality. Deadline: 90 days. Success criteria: Zero CAPAs with open status predating the FDA inspection. If some investigations have no resolution, formally close with documented rationale.</w:t>
      </w:r>
    </w:p>
    <w:p>
      <w:pPr>
        <w:spacing w:after="60"/>
      </w:pPr>
    </w:p>
    <w:p>
      <w:pPr>
        <w:spacing w:after="80"/>
      </w:pPr>
      <w:r>
        <w:t xml:space="preserve">Action 4: Implement lot-by-lot identity testing for OTC drug actives — Owner: VP Quality + QC Manager. Deadline: 30 days. Success criteria: Updated SOPs in place; all incoming OTC drug active lots receiving identity testing per FDA expectation.</w:t>
      </w:r>
    </w:p>
    <w:p>
      <w:pPr>
        <w:pStyle w:val="Heading2"/>
        <w:spacing w:after="120" w:before="300"/>
      </w:pPr>
      <w:r>
        <w:t xml:space="preserve">6-Month Capability Builds</w:t>
      </w:r>
    </w:p>
    <w:p>
      <w:pPr>
        <w:spacing w:after="80"/>
      </w:pPr>
      <w:r>
        <w:t xml:space="preserve">1. MoCRA safety substantiation dossier program — compile existing safety data into formal substantiation dossiers per FDA guidance. Start with highest-volume and highest-risk products. Owner: Regulatory Affairs + R&amp;D. Budget: $30–60K for external regulatory consultant support.</w:t>
      </w:r>
    </w:p>
    <w:p>
      <w:pPr>
        <w:spacing w:after="60"/>
      </w:pPr>
    </w:p>
    <w:p>
      <w:pPr>
        <w:spacing w:after="80"/>
      </w:pPr>
      <w:r>
        <w:t xml:space="preserve">2. QMS CAPA and change control reconfiguration — engage MasterControl implementation partner; reconfigure CAPA module and change control workflow; mandate in-system closure. Owner: VP Quality + IT. Budget: $20–40K.</w:t>
      </w:r>
    </w:p>
    <w:p>
      <w:pPr>
        <w:spacing w:after="60"/>
      </w:pPr>
    </w:p>
    <w:p>
      <w:pPr>
        <w:spacing w:after="80"/>
      </w:pPr>
      <w:r>
        <w:t xml:space="preserve">3. Supplier qualification program overhaul — formal supplier risk tiering; enhanced qualification requirements for Tier 1 (OTC drug actives, novel cosmetic actives); updated approved supplier list in MasterControl. Owner: VP Quality + Procurement. Budget: internal labor + $10–20K for audit support.</w:t>
      </w:r>
    </w:p>
    <w:p>
      <w:pPr>
        <w:spacing w:after="60"/>
      </w:pPr>
    </w:p>
    <w:p>
      <w:pPr>
        <w:spacing w:after="80"/>
      </w:pPr>
      <w:r>
        <w:t xml:space="preserve">4. Regulatory intelligence subscription — evaluate and implement a regulatory monitoring tool (e.g., Alchemy, CIRS regulatory alerts, or equivalent) to replace the reactive newsletter-based approach. Owner: Regulatory Affairs. Budget: $5–15K/year.</w:t>
      </w:r>
    </w:p>
    <w:p>
      <w:pPr>
        <w:pStyle w:val="Heading2"/>
        <w:spacing w:after="120" w:before="300"/>
      </w:pPr>
      <w:r>
        <w:t xml:space="preserve">12-Month Strategic Investments</w:t>
      </w:r>
    </w:p>
    <w:p>
      <w:pPr>
        <w:spacing w:after="80"/>
      </w:pPr>
      <w:r>
        <w:t xml:space="preserve">1. LIMS replacement — replace spreadsheet LIMS with a validated commercial system; prioritize stability data, micro, and CoA generation. Budget: $80–150K. Expected outcome: FDA data integrity risk resolved; CoA generation automated.</w:t>
      </w:r>
    </w:p>
    <w:p>
      <w:pPr>
        <w:spacing w:after="60"/>
      </w:pPr>
    </w:p>
    <w:p>
      <w:pPr>
        <w:spacing w:after="80"/>
      </w:pPr>
      <w:r>
        <w:t xml:space="preserve">2. EU responsible person relationship formalization — renegotiate distributor agreement to include mandatory Article 10 dossier sharing, CPNP notification confirmation, and joint incident reporting protocol. Owner: Legal + VP Quality + Regulatory Affairs.</w:t>
      </w:r>
    </w:p>
    <w:p>
      <w:pPr>
        <w:spacing w:after="60"/>
      </w:pPr>
    </w:p>
    <w:p>
      <w:pPr>
        <w:spacing w:after="80"/>
      </w:pPr>
      <w:r>
        <w:t xml:space="preserve">3. MoCRA safety substantiation completion — full portfolio covered; documented and accessible. Target: 100% substantiation coverage by month 12.</w:t>
      </w:r>
    </w:p>
    <w:p>
      <w:pPr>
        <w:spacing w:after="60"/>
      </w:pPr>
    </w:p>
    <w:p>
      <w:pPr>
        <w:spacing w:after="80"/>
      </w:pPr>
      <w:r>
        <w:t xml:space="preserve">4. Canada regulatory update — Health Canada notification and bilingual labeling compliance review for all Canadian-marketed products. Owner: Regulatory Affairs. Budget: $10–20K consulting.</w:t>
      </w:r>
    </w:p>
    <w:p>
      <w:pPr>
        <w:pStyle w:val="Heading2"/>
        <w:spacing w:after="120" w:before="300"/>
      </w:pPr>
      <w:r>
        <w:t xml:space="preserve">Resource Implications</w:t>
      </w:r>
    </w:p>
    <w:p>
      <w:pPr>
        <w:spacing w:after="80"/>
      </w:pPr>
      <w:r>
        <w:t xml:space="preserve">Current regulatory team (2 FTEs) is insufficient to execute the full roadmap simultaneously. Prioritized recommendation:</w:t>
      </w:r>
    </w:p>
    <w:p>
      <w:pPr>
        <w:pStyle w:val="ListParagraph"/>
        <w:numPr>
          <w:ilvl w:val="0"/>
          <w:numId w:val="1"/>
        </w:numPr>
        <w:spacing w:after="80"/>
      </w:pPr>
      <w:r>
        <w:t xml:space="preserve">• External regulatory consultant: Retain for MoCRA substantiation dossier program and EU Article 10 review. Estimated cost: $40–80K over 12 months.</w:t>
      </w:r>
    </w:p>
    <w:p>
      <w:pPr>
        <w:pStyle w:val="ListParagraph"/>
        <w:numPr>
          <w:ilvl w:val="0"/>
          <w:numId w:val="1"/>
        </w:numPr>
        <w:spacing w:after="80"/>
      </w:pPr>
      <w:r>
        <w:t xml:space="preserve">• QA contractor: Consider a 6-month contract QA specialist to close the CAPA backlog and reconfigure MasterControl while the permanent team manages day-to-day compliance. Estimated cost: $60–90K.</w:t>
      </w:r>
    </w:p>
    <w:p>
      <w:pPr>
        <w:pStyle w:val="ListParagraph"/>
        <w:numPr>
          <w:ilvl w:val="0"/>
          <w:numId w:val="1"/>
        </w:numPr>
        <w:spacing w:after="80"/>
      </w:pPr>
      <w:r>
        <w:t xml:space="preserve">• No additional FTE hiring is required in the first 12 months if contract resources are used effectively.</w:t>
      </w:r>
    </w:p>
    <w:p>
      <w:pPr>
        <w:pStyle w:val="Heading2"/>
        <w:spacing w:after="120" w:before="300"/>
      </w:pPr>
      <w:r>
        <w:t xml:space="preserve">What NOT to Defer</w:t>
      </w:r>
    </w:p>
    <w:p>
      <w:pPr>
        <w:spacing w:after="80"/>
      </w:pPr>
      <w:r>
        <w:t xml:space="preserve">The following items carry legal or inspection risk that makes deferral inadvisable regardless of resource pressure:</w:t>
      </w:r>
    </w:p>
    <w:p>
      <w:pPr>
        <w:pStyle w:val="ListParagraph"/>
        <w:numPr>
          <w:ilvl w:val="0"/>
          <w:numId w:val="1"/>
        </w:numPr>
        <w:spacing w:after="80"/>
      </w:pPr>
      <w:r>
        <w:t xml:space="preserve">• MoCRA product listing completion — this is a legal requirement, not a best practice</w:t>
      </w:r>
    </w:p>
    <w:p>
      <w:pPr>
        <w:pStyle w:val="ListParagraph"/>
        <w:numPr>
          <w:ilvl w:val="0"/>
          <w:numId w:val="1"/>
        </w:numPr>
        <w:spacing w:after="80"/>
      </w:pPr>
      <w:r>
        <w:t xml:space="preserve">• EU Article 10 safety assessment retrieval — joint manufacturer liability is active</w:t>
      </w:r>
    </w:p>
    <w:p>
      <w:pPr>
        <w:pStyle w:val="ListParagraph"/>
        <w:numPr>
          <w:ilvl w:val="0"/>
          <w:numId w:val="1"/>
        </w:numPr>
        <w:spacing w:after="80"/>
      </w:pPr>
      <w:r>
        <w:t xml:space="preserve">• Open CAPA backlog closure — a repeat 483 observation is a materially worse outcome than the resource cost of closing the backlog</w:t>
      </w:r>
    </w:p>
    <w:p>
      <w:pPr>
        <w:pStyle w:val="ListParagraph"/>
        <w:numPr>
          <w:ilvl w:val="0"/>
          <w:numId w:val="1"/>
        </w:numPr>
        <w:spacing w:after="80"/>
      </w:pPr>
      <w:r>
        <w:t xml:space="preserve">• OTC drug active lot-by-lot identity testing — FDA expects this; skip-lot on drug actives is non-compliant</w:t>
      </w:r>
    </w:p>
    <w:p>
      <w:pPr>
        <w:pageBreakBefore/>
      </w:pPr>
    </w:p>
    <w:p>
      <w:pPr>
        <w:pStyle w:val="Heading1"/>
        <w:pBdr>
          <w:bottom w:val="single" w:color="CCCCCC" w:sz="1" w:space="4"/>
        </w:pBdr>
        <w:spacing w:after="200" w:before="400"/>
      </w:pPr>
      <w:r>
        <w:t xml:space="preserve">Quality System Gap Analysis</w:t>
      </w:r>
    </w:p>
    <w:p>
      <w:pPr>
        <w:pStyle w:val="Heading2"/>
        <w:spacing w:after="120" w:before="300"/>
      </w:pPr>
      <w:r>
        <w:t xml:space="preserve">Current QMS State</w:t>
      </w:r>
    </w:p>
    <w:p>
      <w:pPr>
        <w:spacing w:after="80"/>
      </w:pPr>
      <w:r>
        <w:t xml:space="preserve">System: MasterControl (electronic QMS). Deployed but only 40% utilized. Core document control is functional. CAPA module is inadequate in practice — investigations are raised but corrective actions are tracked in email and spreadsheets, not in MasterControl. Change control workflow is poorly configured and routinely bypassed by staff. Supplier document management is external to the system entirely.</w:t>
      </w:r>
    </w:p>
    <w:p>
      <w:pPr>
        <w:pStyle w:val="Heading2"/>
        <w:spacing w:after="120" w:before="300"/>
      </w:pPr>
      <w:r>
        <w:t xml:space="preserve">Document Control</w:t>
      </w:r>
    </w:p>
    <w:p>
      <w:pPr>
        <w:spacing w:after="80"/>
      </w:pPr>
      <w:r>
        <w:t xml:space="preserve">Strengths: Core SOPs and batch record templates appear to be managed in MasterControl based on inspection history.</w:t>
      </w:r>
    </w:p>
    <w:p>
      <w:pPr>
        <w:spacing w:after="80"/>
      </w:pPr>
      <w:r>
        <w:t xml:space="preserve">Gaps: (1) Supplier qualification documents (CoAs, qualification records, approved supplier list) are not in MasterControl — these are required to be part of the quality system under 21 CFR Part 211 for OTC products. (2) Product-level safety substantiation files are scattered across product files, not centralized in the QMS. (3) Training records — confirm all MasterControl records are current; FDA inspectors review training completion regularly.</w:t>
      </w:r>
    </w:p>
    <w:p>
      <w:pPr>
        <w:spacing w:after="80"/>
      </w:pPr>
      <w:r>
        <w:t xml:space="preserve">Recommendation: Migrate supplier qualification documents and safety substantiation files into MasterControl within 6 months.</w:t>
      </w:r>
    </w:p>
    <w:p>
      <w:pPr>
        <w:pStyle w:val="Heading2"/>
        <w:spacing w:after="120" w:before="300"/>
      </w:pPr>
      <w:r>
        <w:t xml:space="preserve">Deviation &amp; CAPA Effectiveness</w:t>
      </w:r>
    </w:p>
    <w:p>
      <w:pPr>
        <w:spacing w:after="80"/>
      </w:pPr>
      <w:r>
        <w:t xml:space="preserve">Current state: Deviations are raised in MasterControl. CAPA assignments are made but corrective actions are tracked externally (email, spreadsheets). Open CAPA backlog exists from investigations predating the FDA inspection.</w:t>
      </w:r>
    </w:p>
    <w:p>
      <w:pPr>
        <w:spacing w:after="80"/>
      </w:pPr>
      <w:r>
        <w:t xml:space="preserve">Primary risk: An FDA inspection that finds CAPAs marked 'open' in MasterControl — particularly those that were open at the prior inspection — will result in a repeat 483 observation. Repeat observations signal systemic non-compliance and increase the probability of a warning letter.</w:t>
      </w:r>
    </w:p>
    <w:p>
      <w:pPr>
        <w:spacing w:after="80"/>
      </w:pPr>
      <w:r>
        <w:t xml:space="preserve">Recommendation: (1) Close all pre-inspection CAPAs within 90 days — with documented rationale for each. (2) Reconfigure MasterControl to require in-system CAPA documentation before an investigation can be closed. (3) Implement a monthly CAPA aging review — any CAPA open beyond 90 days requires VP Quality escalation.</w:t>
      </w:r>
    </w:p>
    <w:p>
      <w:pPr>
        <w:pStyle w:val="Heading2"/>
        <w:spacing w:after="120" w:before="300"/>
      </w:pPr>
      <w:r>
        <w:t xml:space="preserve">Change Control</w:t>
      </w:r>
    </w:p>
    <w:p>
      <w:pPr>
        <w:spacing w:after="80"/>
      </w:pPr>
      <w:r>
        <w:t xml:space="preserve">Current state: Change control process exists in MasterControl but the workflow is poorly configured; staff routinely bypass it, particularly for minor formula changes and packaging updates.</w:t>
      </w:r>
    </w:p>
    <w:p>
      <w:pPr>
        <w:spacing w:after="80"/>
      </w:pPr>
      <w:r>
        <w:t xml:space="preserve">Risk: Undocumented changes to OTC drug product formulas or manufacturing processes are a significant cGMP violation. Even 'minor' changes to a drug product may require stability data, specification updates, or regulatory notification depending on the nature of the change. A change that bypasses the change control system and later causes a quality issue creates both a compliance and a liability problem.</w:t>
      </w:r>
    </w:p>
    <w:p>
      <w:pPr>
        <w:spacing w:after="80"/>
      </w:pPr>
      <w:r>
        <w:t xml:space="preserve">Recommendation: (1) Reconfigure the change control workflow in MasterControl to reduce friction for low-risk changes while maintaining rigor for high-risk changes. (2) Define a tiered change classification: Minor (no regulatory impact), Major (specification or process change), Regulatory (requires FDA notification or stability data). (3) Mandatory management of change training within 60 days.</w:t>
      </w:r>
    </w:p>
    <w:p>
      <w:pPr>
        <w:pStyle w:val="Heading2"/>
        <w:spacing w:after="120" w:before="300"/>
      </w:pPr>
      <w:r>
        <w:t xml:space="preserve">LIMS Assessment</w:t>
      </w:r>
    </w:p>
    <w:p>
      <w:pPr>
        <w:spacing w:after="80"/>
      </w:pPr>
      <w:r>
        <w:t xml:space="preserve">Current state: Custom Excel-based system. Stability data in per-project workbooks. Micro results manually transcribed from contract lab. CoA generation via Word template with manual result entry.</w:t>
      </w:r>
    </w:p>
    <w:p>
      <w:pPr>
        <w:spacing w:after="80"/>
      </w:pPr>
      <w:r>
        <w:t xml:space="preserve">Data integrity risks: (1) Manual transcription between external lab and internal record — no audit trail, error-prone. (2) Excel workbooks have no access controls or audit trail — do not meet 21 CFR Part 11 requirements for electronic records used in OTC drug product release. (3) No automated review or out-of-specification detection — OOS investigations depend on a human noticing a result outside spec.</w:t>
      </w:r>
    </w:p>
    <w:p>
      <w:pPr>
        <w:spacing w:after="80"/>
      </w:pPr>
      <w:r>
        <w:t xml:space="preserve">For OTC drug products specifically, the LIMS is the weakest link in the data integrity chain and is the most likely target of a future FDA data integrity observation.</w:t>
      </w:r>
    </w:p>
    <w:p>
      <w:pPr>
        <w:spacing w:after="80"/>
      </w:pPr>
      <w:r>
        <w:t xml:space="preserve">Recommendation: Replace within 12 months. In the interim: implement a mandatory dual-check process for all contract lab transcription (two reviewers sign off); do not use this system as the system of record for OTC drug product batch release without additional controls.</w:t>
      </w:r>
    </w:p>
    <w:p>
      <w:pPr>
        <w:pStyle w:val="Heading2"/>
        <w:spacing w:after="120" w:before="300"/>
      </w:pPr>
      <w:r>
        <w:t xml:space="preserve">Supplier Controls</w:t>
      </w:r>
    </w:p>
    <w:p>
      <w:pPr>
        <w:spacing w:after="80"/>
      </w:pPr>
      <w:r>
        <w:t xml:space="preserve">Current state: Approved supplier list in spreadsheet. Skip-lot testing for most materials. Lot-by-lot identity testing for OTC drug actives — BUT this was identified as potentially not being consistently applied (see Critical Risk Register).</w:t>
      </w:r>
    </w:p>
    <w:p>
      <w:pPr>
        <w:spacing w:after="80"/>
      </w:pPr>
      <w:r>
        <w:t xml:space="preserve">Prior incident: Mislabeled silicone batch reached the manufacturing floor 2 years ago. No formal supplier qualification program overhaul completed since.</w:t>
      </w:r>
    </w:p>
    <w:p>
      <w:pPr>
        <w:spacing w:after="80"/>
      </w:pPr>
      <w:r>
        <w:t xml:space="preserve">Gaps: (1) Supplier risk tiering — not all suppliers carry the same risk; OTC drug actives require more rigorous qualification than commodity excipients. (2) Skip-lot testing for non-drug materials is acceptable, but the program should be documented with clear criteria for what triggers full-lot testing. (3) Supplier audit program — no mention of periodic supplier audits; for Tier 1 suppliers (OTC drug actives) periodic on-site or remote audits are expected by FDA.</w:t>
      </w:r>
    </w:p>
    <w:p>
      <w:pPr>
        <w:spacing w:after="80"/>
      </w:pPr>
      <w:r>
        <w:t xml:space="preserve">Recommendation: (1) Implement formal supplier risk tiering (Tier 1: OTC drug actives and novel actives; Tier 2: standard cosmetic actives; Tier 3: commodity excipients). (2) Define testing frequency by tier in a formal SOP. (3) Establish a supplier audit schedule for Tier 1 suppliers — minimum annual remote audit, biennial on-site.</w:t>
      </w:r>
    </w:p>
    <w:p>
      <w:pPr>
        <w:pStyle w:val="Heading2"/>
        <w:spacing w:after="120" w:before="300"/>
      </w:pPr>
      <w:r>
        <w:t xml:space="preserve">Benchmarks &amp; Recommendations</w:t>
      </w:r>
    </w:p>
    <w:p>
      <w:pPr>
        <w:spacing w:after="80"/>
      </w:pPr>
      <w:r>
        <w:t xml:space="preserve">For a CM with this regulatory scope (MoCRA + OTC cGMP + EU), the current QMS maturity is below the expected standard for a company of this size and complexity. The primary gap is operational discipline and system configuration — not system selection. MasterControl is a capable QMS; the problem is that it was poorly implemented and has been worked around.</w:t>
      </w:r>
    </w:p>
    <w:p>
      <w:pPr>
        <w:spacing w:after="60"/>
      </w:pPr>
    </w:p>
    <w:p>
      <w:pPr>
        <w:spacing w:after="80"/>
      </w:pPr>
      <w:r>
        <w:t xml:space="preserve">Top 5 recommendations in priority order:</w:t>
      </w:r>
    </w:p>
    <w:p>
      <w:pPr>
        <w:spacing w:after="80"/>
      </w:pPr>
      <w:r>
        <w:t xml:space="preserve">1. Close open CAPA backlog and mandate in-system CAPA documentation — 90 days</w:t>
      </w:r>
    </w:p>
    <w:p>
      <w:pPr>
        <w:spacing w:after="80"/>
      </w:pPr>
      <w:r>
        <w:t xml:space="preserve">2. Reconfigure MasterControl change control workflow — 60 days</w:t>
      </w:r>
    </w:p>
    <w:p>
      <w:pPr>
        <w:spacing w:after="80"/>
      </w:pPr>
      <w:r>
        <w:t xml:space="preserve">3. Migrate supplier qualification documents into MasterControl — 6 months</w:t>
      </w:r>
    </w:p>
    <w:p>
      <w:pPr>
        <w:spacing w:after="80"/>
      </w:pPr>
      <w:r>
        <w:t xml:space="preserve">4. Implement formal supplier risk tiering and audit schedule — 6 months</w:t>
      </w:r>
    </w:p>
    <w:p>
      <w:pPr>
        <w:spacing w:after="80"/>
      </w:pPr>
      <w:r>
        <w:t xml:space="preserve">5. Replace LIMS — 12 months</w:t>
      </w:r>
    </w:p>
    <w:p>
      <w:pPr>
        <w:spacing w:after="60"/>
      </w:pPr>
    </w:p>
    <w:p>
      <w:pPr>
        <w:spacing w:after="80"/>
      </w:pPr>
      <w:r>
        <w:t xml:space="preserve">This assessment is based on a single advisory session. All regulatory requirements should be verified with a qualified regulatory affairs professional before acting on them.</w:t>
      </w:r>
    </w:p>
    <w:p>
      <w:pPr>
        <w:pageBreakBefore/>
      </w:pPr>
    </w:p>
    <w:p>
      <w:pPr>
        <w:pStyle w:val="Heading1"/>
        <w:pBdr>
          <w:bottom w:val="single" w:color="CCCCCC" w:sz="1" w:space="4"/>
        </w:pBdr>
        <w:spacing w:after="200" w:before="400"/>
      </w:pPr>
      <w:r>
        <w:t xml:space="preserve">Market Expansion Regulatory Playbook</w:t>
      </w:r>
    </w:p>
    <w:p>
      <w:pPr>
        <w:pStyle w:val="Heading2"/>
        <w:spacing w:after="120" w:before="300"/>
      </w:pPr>
      <w:r>
        <w:t xml:space="preserve">How to Use This Playbook</w:t>
      </w:r>
    </w:p>
    <w:p>
      <w:pPr>
        <w:spacing w:after="80"/>
      </w:pPr>
      <w:r>
        <w:t xml:space="preserve">This playbook summarizes regulatory requirements for key markets. It is written for a US-based cosmetic and OTC drug CM that already manufactures for the US, EU (Germany/France), and Canada. Each section identifies what is already in place, what gaps exist, and what would be required to expand further into that market. Requirements change frequently — verify all information with a qualified regulatory affairs professional before acting.</w:t>
      </w:r>
    </w:p>
    <w:p>
      <w:pPr>
        <w:pStyle w:val="Heading2"/>
        <w:spacing w:after="120" w:before="300"/>
      </w:pPr>
      <w:r>
        <w:t xml:space="preserve">United States (Current Requirements)</w:t>
      </w:r>
    </w:p>
    <w:p>
      <w:pPr>
        <w:spacing w:after="80"/>
      </w:pPr>
      <w:r>
        <w:t xml:space="preserve">Cosmetics (MoCRA): Responsible person designated (compliant). Product listing in CARES portal: 60% complete (40% gap — immediate action required). Safety substantiation: on file but not in formal dossier format (medium-term risk). Labeling: must comply with FD&amp;C Act and MoCRA requirements including warning statements.</w:t>
      </w:r>
    </w:p>
    <w:p>
      <w:pPr>
        <w:spacing w:after="60"/>
      </w:pPr>
    </w:p>
    <w:p>
      <w:pPr>
        <w:spacing w:after="80"/>
      </w:pPr>
      <w:r>
        <w:t xml:space="preserve">OTC Drug Products (FDA Monograph): Must comply with 21 CFR Parts 210/211 (cGMP). Products must conform to applicable OTC monograph (acne — 21 CFR Part 333; sunscreen — FDA 2019 Proposed Rule / current enforcement policy). In vitro and/or in vivo testing required for efficacy claims. Drug Facts panel required on all OTC drug products.</w:t>
      </w:r>
    </w:p>
    <w:p>
      <w:pPr>
        <w:spacing w:after="60"/>
      </w:pPr>
    </w:p>
    <w:p>
      <w:pPr>
        <w:spacing w:after="80"/>
      </w:pPr>
      <w:r>
        <w:t xml:space="preserve">Dietary Supplements (DSHEA): Must comply with 21 CFR Part 111 (dietary supplement cGMP). Substantiation of structure/function claims required. Serious adverse event reporting required within 15 days.</w:t>
      </w:r>
    </w:p>
    <w:p>
      <w:pPr>
        <w:pStyle w:val="Heading2"/>
        <w:spacing w:after="120" w:before="300"/>
      </w:pPr>
      <w:r>
        <w:t xml:space="preserve">European Union</w:t>
      </w:r>
    </w:p>
    <w:p>
      <w:pPr>
        <w:spacing w:after="80"/>
      </w:pPr>
      <w:r>
        <w:t xml:space="preserve">Framework: EU Cosmetics Regulation 1223/2009 (as amended). Not applicable to OTC drug products (those are regulated as medicinal products under Directive 2001/83/EC — a significantly different and more complex pathway).</w:t>
      </w:r>
    </w:p>
    <w:p>
      <w:pPr>
        <w:spacing w:after="60"/>
      </w:pPr>
    </w:p>
    <w:p>
      <w:pPr>
        <w:spacing w:after="80"/>
      </w:pPr>
      <w:r>
        <w:t xml:space="preserve">Key requirements:</w:t>
      </w:r>
    </w:p>
    <w:p>
      <w:pPr>
        <w:pStyle w:val="ListParagraph"/>
        <w:numPr>
          <w:ilvl w:val="0"/>
          <w:numId w:val="1"/>
        </w:numPr>
        <w:spacing w:after="80"/>
      </w:pPr>
      <w:r>
        <w:t xml:space="preserve">• EU Responsible Person (RP): A legal entity established in the EU must be designated as RP. Current distributor arrangement is acceptable but must be formalized with reviewed Article 10 documentation.</w:t>
      </w:r>
    </w:p>
    <w:p>
      <w:pPr>
        <w:pStyle w:val="ListParagraph"/>
        <w:numPr>
          <w:ilvl w:val="0"/>
          <w:numId w:val="1"/>
        </w:numPr>
        <w:spacing w:after="80"/>
      </w:pPr>
      <w:r>
        <w:t xml:space="preserve">• CPNP notification: Required before placing any cosmetic product on the EU market. One notification per product per RP.</w:t>
      </w:r>
    </w:p>
    <w:p>
      <w:pPr>
        <w:pStyle w:val="ListParagraph"/>
        <w:numPr>
          <w:ilvl w:val="0"/>
          <w:numId w:val="1"/>
        </w:numPr>
        <w:spacing w:after="80"/>
      </w:pPr>
      <w:r>
        <w:t xml:space="preserve">• Article 10 Product Information File (PIF): Must include: product description, safety assessment (by a qualified safety assessor), manufacturing method statement, proof of claimed effects, and consumer exposure data.</w:t>
      </w:r>
    </w:p>
    <w:p>
      <w:pPr>
        <w:pStyle w:val="ListParagraph"/>
        <w:numPr>
          <w:ilvl w:val="0"/>
          <w:numId w:val="1"/>
        </w:numPr>
        <w:spacing w:after="80"/>
      </w:pPr>
      <w:r>
        <w:t xml:space="preserve">• Safety assessor: Must hold a pharmacy, toxicology, medicine, or equivalent degree. The safety assessment must be signed by a qualified assessor.</w:t>
      </w:r>
    </w:p>
    <w:p>
      <w:pPr>
        <w:pStyle w:val="ListParagraph"/>
        <w:numPr>
          <w:ilvl w:val="0"/>
          <w:numId w:val="1"/>
        </w:numPr>
        <w:spacing w:after="80"/>
      </w:pPr>
      <w:r>
        <w:t xml:space="preserve">• Labeling: Must comply with EU labeling requirements including INCI nomenclature, country of origin, RP name and address, shelf life marking.</w:t>
      </w:r>
    </w:p>
    <w:p>
      <w:pPr>
        <w:pStyle w:val="ListParagraph"/>
        <w:numPr>
          <w:ilvl w:val="0"/>
          <w:numId w:val="1"/>
        </w:numPr>
        <w:spacing w:after="80"/>
      </w:pPr>
      <w:r>
        <w:t xml:space="preserve">• Restricted/prohibited ingredients: EU restricted list is more extensive than US; regular monitoring required.</w:t>
      </w:r>
    </w:p>
    <w:p>
      <w:pPr>
        <w:spacing w:after="60"/>
      </w:pPr>
    </w:p>
    <w:p>
      <w:pPr>
        <w:spacing w:after="80"/>
      </w:pPr>
      <w:r>
        <w:t xml:space="preserve">Gap for current company: Article 10 PIFs not on file at manufacturer. Resolve immediately.</w:t>
      </w:r>
    </w:p>
    <w:p>
      <w:pPr>
        <w:pStyle w:val="Heading2"/>
        <w:spacing w:after="120" w:before="300"/>
      </w:pPr>
      <w:r>
        <w:t xml:space="preserve">Canada</w:t>
      </w:r>
    </w:p>
    <w:p>
      <w:pPr>
        <w:spacing w:after="80"/>
      </w:pPr>
      <w:r>
        <w:t xml:space="preserve">Cosmetics: Governed by the Canada Consumer Product Safety Act and Cosmetic Regulations. Notification to Health Canada required within 10 days of first sale. INCI ingredient listing required. Bilingual labeling (English and French) mandatory for all cosmetics sold in Canada.</w:t>
      </w:r>
    </w:p>
    <w:p>
      <w:pPr>
        <w:spacing w:after="60"/>
      </w:pPr>
    </w:p>
    <w:p>
      <w:pPr>
        <w:spacing w:after="80"/>
      </w:pPr>
      <w:r>
        <w:t xml:space="preserve">Natural Health Products / OTC drugs: Governed by the Natural Health Products Regulations (for NHPs) or Food and Drug Regulations (for OTC drugs). NHP requires a pre-market license (Natural Product Number / NPN). OTC drugs require a Drug Identification Number (DIN). These are significantly more burdensome than US monograph pathway.</w:t>
      </w:r>
    </w:p>
    <w:p>
      <w:pPr>
        <w:spacing w:after="60"/>
      </w:pPr>
    </w:p>
    <w:p>
      <w:pPr>
        <w:spacing w:after="80"/>
      </w:pPr>
      <w:r>
        <w:t xml:space="preserve">Key differences from US: Bilingual labeling is mandatory (many US-labeled products are non-compliant in Canada without a French label version). Some US-permitted cosmetic ingredients are restricted or require notification in Canada. Health Canada cosmetic ingredient hotlist should be reviewed against current formula portfolio.</w:t>
      </w:r>
    </w:p>
    <w:p>
      <w:pPr>
        <w:spacing w:after="60"/>
      </w:pPr>
    </w:p>
    <w:p>
      <w:pPr>
        <w:spacing w:after="80"/>
      </w:pPr>
      <w:r>
        <w:t xml:space="preserve">Current company gap: Confirm all Canadian-marketed products have Health Canada cosmetic notifications filed and bilingual labels in place.</w:t>
      </w:r>
    </w:p>
    <w:p>
      <w:pPr>
        <w:pStyle w:val="Heading2"/>
        <w:spacing w:after="120" w:before="300"/>
      </w:pPr>
      <w:r>
        <w:t xml:space="preserve">United Kingdom (Post-Brexit)</w:t>
      </w:r>
    </w:p>
    <w:p>
      <w:pPr>
        <w:spacing w:after="80"/>
      </w:pPr>
      <w:r>
        <w:t xml:space="preserve">Framework: UK Cosmetics Regulation (retained EU law with Great Britain-specific amendments). Separate from EU since January 1, 2021.</w:t>
      </w:r>
    </w:p>
    <w:p>
      <w:pPr>
        <w:spacing w:after="60"/>
      </w:pPr>
    </w:p>
    <w:p>
      <w:pPr>
        <w:spacing w:after="80"/>
      </w:pPr>
      <w:r>
        <w:t xml:space="preserve">Key requirements:</w:t>
      </w:r>
    </w:p>
    <w:p>
      <w:pPr>
        <w:pStyle w:val="ListParagraph"/>
        <w:numPr>
          <w:ilvl w:val="0"/>
          <w:numId w:val="1"/>
        </w:numPr>
        <w:spacing w:after="80"/>
      </w:pPr>
      <w:r>
        <w:t xml:space="preserve">• UK Responsible Person: A legal entity established in Great Britain (England, Scotland, Wales) must be designated as RP for GB market. Separate from EU RP.</w:t>
      </w:r>
    </w:p>
    <w:p>
      <w:pPr>
        <w:pStyle w:val="ListParagraph"/>
        <w:numPr>
          <w:ilvl w:val="0"/>
          <w:numId w:val="1"/>
        </w:numPr>
        <w:spacing w:after="80"/>
      </w:pPr>
      <w:r>
        <w:t xml:space="preserve">• SCPN (Submit Cosmetic Product Notification): UK equivalent of CPNP — required before placing on GB market. Northern Ireland follows EU rules (CPNP applies).</w:t>
      </w:r>
    </w:p>
    <w:p>
      <w:pPr>
        <w:pStyle w:val="ListParagraph"/>
        <w:numPr>
          <w:ilvl w:val="0"/>
          <w:numId w:val="1"/>
        </w:numPr>
        <w:spacing w:after="80"/>
      </w:pPr>
      <w:r>
        <w:t xml:space="preserve">• Product Information File: Same requirements as EU Article 10.</w:t>
      </w:r>
    </w:p>
    <w:p>
      <w:pPr>
        <w:pStyle w:val="ListParagraph"/>
        <w:numPr>
          <w:ilvl w:val="0"/>
          <w:numId w:val="1"/>
        </w:numPr>
        <w:spacing w:after="80"/>
      </w:pPr>
      <w:r>
        <w:t xml:space="preserve">• Labeling: Must reference UK RP address. EU RP address is not sufficient for GB-labeled products.</w:t>
      </w:r>
    </w:p>
    <w:p>
      <w:pPr>
        <w:spacing w:after="60"/>
      </w:pPr>
    </w:p>
    <w:p>
      <w:pPr>
        <w:spacing w:after="80"/>
      </w:pPr>
      <w:r>
        <w:t xml:space="preserve">Complexity note: If you are currently serving the EU market through a German/French distributor and they are also distributing into the UK, verify whether they have a separate UK RP and SCPN notification — these are commonly overlooked post-Brexit.</w:t>
      </w:r>
    </w:p>
    <w:p>
      <w:pPr>
        <w:pStyle w:val="Heading2"/>
        <w:spacing w:after="120" w:before="300"/>
      </w:pPr>
      <w:r>
        <w:t xml:space="preserve">APAC / China</w:t>
      </w:r>
    </w:p>
    <w:p>
      <w:pPr>
        <w:spacing w:after="80"/>
      </w:pPr>
      <w:r>
        <w:t xml:space="preserve">China (NMPA): Among the most complex non-EU regulatory frameworks for cosmetics. All cosmetics require NMPA registration or filing before sale. 'Special use' cosmetics (SPF, hair dye, depilatories) require pre-market registration (18–24 months, $50–150K+ per product). 'Ordinary' cosmetics require filing (faster but still substantial). Animal testing historically required — China has made exemptions for imported cosmetics in some categories; verify current status with specialist counsel. Recommend engaging a China regulatory specialist before any China market entry.</w:t>
      </w:r>
    </w:p>
    <w:p>
      <w:pPr>
        <w:spacing w:after="60"/>
      </w:pPr>
    </w:p>
    <w:p>
      <w:pPr>
        <w:spacing w:after="80"/>
      </w:pPr>
      <w:r>
        <w:t xml:space="preserve">Australia (NICNAS/AICIS): Industrial chemicals (including cosmetic ingredients) regulated under AICIS. Generally more aligned with EU approach. Lower complexity than China for established formulas.</w:t>
      </w:r>
    </w:p>
    <w:p>
      <w:pPr>
        <w:spacing w:after="60"/>
      </w:pPr>
    </w:p>
    <w:p>
      <w:pPr>
        <w:spacing w:after="80"/>
      </w:pPr>
      <w:r>
        <w:t xml:space="preserve">South Korea: MFDS (Ministry of Food and Drug Safety) regulates cosmetics. Functional cosmetics (whitening, SPF, anti-wrinkle) require separate registration. K-beauty market entry is commercially attractive but requires dedicated regulatory preparation.</w:t>
      </w:r>
    </w:p>
    <w:p>
      <w:pPr>
        <w:spacing w:after="60"/>
      </w:pPr>
    </w:p>
    <w:p>
      <w:pPr>
        <w:spacing w:after="80"/>
      </w:pPr>
      <w:r>
        <w:t xml:space="preserve">Japan (PMDA): Cosmetics and quasi-drugs (functional cosmetics) are regulated under the Pharmaceutical and Medical Device Act. Quasi-drug category (comparable to EU borderline products) is significant and requires separate approval.</w:t>
      </w:r>
    </w:p>
    <w:p>
      <w:pPr>
        <w:pStyle w:val="Heading2"/>
        <w:spacing w:after="120" w:before="300"/>
      </w:pPr>
      <w:r>
        <w:t xml:space="preserve">LATAM / Brazil</w:t>
      </w:r>
    </w:p>
    <w:p>
      <w:pPr>
        <w:spacing w:after="80"/>
      </w:pPr>
      <w:r>
        <w:t xml:space="preserve">Brazil (ANVISA): One of the most complex cosmetic regulatory frameworks globally. Cosmetics are classified as Grade 1 (lower risk — notification) or Grade 2 (higher risk — registration, pre-market approval). SPF products, anti-dandruff, products with certain actives are Grade 2 requiring registration. ANVISA registration can take 12–24 months and requires significant documentation in Portuguese. Manufacturing facility must be inspected or have a recognized GMP certificate (ISO 22716 is generally accepted). ANVISA is known for strict enforcement and product recalls. Recommend specialist ANVISA regulatory counsel before market entry.</w:t>
      </w:r>
    </w:p>
    <w:p>
      <w:pPr>
        <w:spacing w:after="60"/>
      </w:pPr>
    </w:p>
    <w:p>
      <w:pPr>
        <w:spacing w:after="80"/>
      </w:pPr>
      <w:r>
        <w:t xml:space="preserve">Other LATAM markets: Mexico (COFEPRIS) and Colombia (INVIMA) have less complex cosmetics frameworks — notification-based for most products, though still require Spanish labeling and local authorized representative.</w:t>
      </w:r>
    </w:p>
    <w:p>
      <w:pPr>
        <w:pStyle w:val="Heading2"/>
        <w:spacing w:after="120" w:before="300"/>
      </w:pPr>
      <w:r>
        <w:t xml:space="preserve">Expansion Prioritization</w:t>
      </w:r>
    </w:p>
    <w:p>
      <w:pPr>
        <w:spacing w:after="80"/>
      </w:pPr>
      <w:r>
        <w:t xml:space="preserve">Based on this session, the company has existing presence in US, EU (DE/FR), and Canada. Recommended expansion prioritization:</w:t>
      </w:r>
    </w:p>
    <w:p>
      <w:pPr>
        <w:spacing w:after="60"/>
      </w:pPr>
    </w:p>
    <w:p>
      <w:pPr>
        <w:spacing w:after="80"/>
      </w:pPr>
      <w:r>
        <w:t xml:space="preserve">1. Consolidate EU compliance first: Resolve Article 10 gap, formalize RP relationship, ensure CPNP completeness before expanding EU footprint to other member states.</w:t>
      </w:r>
    </w:p>
    <w:p>
      <w:pPr>
        <w:spacing w:after="80"/>
      </w:pPr>
      <w:r>
        <w:t xml:space="preserve">2. UK (if EU clients have UK distribution): Low incremental cost if EU PIFs are in order — primarily RP designation and SCPN notification.</w:t>
      </w:r>
    </w:p>
    <w:p>
      <w:pPr>
        <w:spacing w:after="80"/>
      </w:pPr>
      <w:r>
        <w:t xml:space="preserve">3. Canada expansion (deepen existing presence): Bilingual labeling compliance review for full Canadian-marketed portfolio; consider full Health Canada notification audit.</w:t>
      </w:r>
    </w:p>
    <w:p>
      <w:pPr>
        <w:spacing w:after="80"/>
      </w:pPr>
      <w:r>
        <w:t xml:space="preserve">4. Australia: Moderate complexity, English-language market, growing demand for clean beauty and OTC-equivalent products. A reasonable next expansion market.</w:t>
      </w:r>
    </w:p>
    <w:p>
      <w:pPr>
        <w:spacing w:after="80"/>
      </w:pPr>
      <w:r>
        <w:t xml:space="preserve">5. South Korea: Commercially attractive for K-beauty-adjacent innovation; regulatory complexity manageable with specialist counsel.</w:t>
      </w:r>
    </w:p>
    <w:p>
      <w:pPr>
        <w:spacing w:after="80"/>
      </w:pPr>
      <w:r>
        <w:t xml:space="preserve">6. China and Brazil: Defer until core compliance program is mature and dedicated regulatory resources are in place. Both require significant investment and carry high enforcement risk for unprepared entrants.</w:t>
      </w:r>
    </w:p>
    <w:p>
      <w:pPr>
        <w:spacing w:after="60"/>
      </w:pPr>
    </w:p>
    <w:p>
      <w:pPr>
        <w:spacing w:after="80"/>
      </w:pPr>
      <w:r>
        <w:t xml:space="preserve">This assessment is based on a single advisory session. All regulatory requirements should be verified with a qualified regulatory affairs professional before acting on them.</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Maturity Assessment</dc:title>
  <dc:creator>CosmoLab AI</dc:creator>
  <cp:lastModifiedBy>Un-named</cp:lastModifiedBy>
  <cp:revision>1</cp:revision>
  <dcterms:created xsi:type="dcterms:W3CDTF">2026-03-22T02:40:15.063Z</dcterms:created>
  <dcterms:modified xsi:type="dcterms:W3CDTF">2026-03-22T02:40:15.063Z</dcterms:modified>
</cp:coreProperties>
</file>

<file path=docProps/custom.xml><?xml version="1.0" encoding="utf-8"?>
<Properties xmlns="http://schemas.openxmlformats.org/officeDocument/2006/custom-properties" xmlns:vt="http://schemas.openxmlformats.org/officeDocument/2006/docPropsVTypes"/>
</file>