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Strategic Situation Assessment</w:t>
      </w:r>
    </w:p>
    <w:p>
      <w:pPr>
        <w:pStyle w:val="Heading2"/>
        <w:spacing w:after="120" w:before="300"/>
      </w:pPr>
      <w:r>
        <w:t xml:space="preserve">Company Snapshot</w:t>
      </w:r>
    </w:p>
    <w:p>
      <w:pPr>
        <w:spacing w:after="80"/>
      </w:pPr>
      <w:r>
        <w:t xml:space="preserve">Revenue: ~$85M annual</w:t>
      </w:r>
    </w:p>
    <w:p>
      <w:pPr>
        <w:spacing w:after="80"/>
      </w:pPr>
      <w:r>
        <w:t xml:space="preserve">Category mix: Skincare 60%, Haircare 25%, OTC Drug 15%</w:t>
      </w:r>
    </w:p>
    <w:p>
      <w:pPr>
        <w:spacing w:after="80"/>
      </w:pPr>
      <w:r>
        <w:t xml:space="preserve">Client mix: Mid-market brands 40%, Indie brands 35%, Enterprise/Retail private label 25%</w:t>
      </w:r>
    </w:p>
    <w:p>
      <w:pPr>
        <w:spacing w:after="80"/>
      </w:pPr>
      <w:r>
        <w:t xml:space="preserve">Manufacturing model: Contract manufacturer serving multiple clients across shared and semi-dedicated lines</w:t>
      </w:r>
    </w:p>
    <w:p>
      <w:pPr>
        <w:pStyle w:val="Heading2"/>
        <w:spacing w:after="120" w:before="300"/>
      </w:pPr>
      <w:r>
        <w:t xml:space="preserve">Growth Performance</w:t>
      </w:r>
    </w:p>
    <w:p>
      <w:pPr>
        <w:spacing w:after="80"/>
      </w:pPr>
      <w:r>
        <w:t xml:space="preserve">Revenue CAGR (3-year): ~7.5% ($68M → $85M)</w:t>
      </w:r>
    </w:p>
    <w:p>
      <w:pPr>
        <w:pStyle w:val="ListParagraph"/>
        <w:numPr>
          <w:ilvl w:val="0"/>
          <w:numId w:val="1"/>
        </w:numPr>
        <w:spacing w:after="80"/>
      </w:pPr>
      <w:r>
        <w:t xml:space="preserve">• Skincare: primary growth engine — premium anti-aging and clean beauty driving volume</w:t>
      </w:r>
    </w:p>
    <w:p>
      <w:pPr>
        <w:pStyle w:val="ListParagraph"/>
        <w:numPr>
          <w:ilvl w:val="0"/>
          <w:numId w:val="1"/>
        </w:numPr>
        <w:spacing w:after="80"/>
      </w:pPr>
      <w:r>
        <w:t xml:space="preserve">• Haircare: growing but margin dilutive relative to skincare mix</w:t>
      </w:r>
    </w:p>
    <w:p>
      <w:pPr>
        <w:pStyle w:val="ListParagraph"/>
        <w:numPr>
          <w:ilvl w:val="0"/>
          <w:numId w:val="1"/>
        </w:numPr>
        <w:spacing w:after="80"/>
      </w:pPr>
      <w:r>
        <w:t xml:space="preserve">• OTC Drug: flat — constrained by capacity, not demand</w:t>
      </w:r>
    </w:p>
    <w:p>
      <w:pPr>
        <w:pStyle w:val="ListParagraph"/>
        <w:numPr>
          <w:ilvl w:val="0"/>
          <w:numId w:val="1"/>
        </w:numPr>
        <w:spacing w:after="80"/>
      </w:pPr>
      <w:r>
        <w:t xml:space="preserve">• Indie brand segment: fastest growing client type, highest churn rate</w:t>
      </w:r>
    </w:p>
    <w:p>
      <w:pPr>
        <w:pStyle w:val="ListParagraph"/>
        <w:numPr>
          <w:ilvl w:val="0"/>
          <w:numId w:val="1"/>
        </w:numPr>
        <w:spacing w:after="80"/>
      </w:pPr>
      <w:r>
        <w:t xml:space="preserve">• Mid-market and enterprise clients: stable, lower churn</w:t>
      </w:r>
    </w:p>
    <w:p>
      <w:pPr>
        <w:pStyle w:val="Heading2"/>
        <w:spacing w:after="120" w:before="300"/>
      </w:pPr>
      <w:r>
        <w:t xml:space="preserve">Capacity Position</w:t>
      </w:r>
    </w:p>
    <w:p>
      <w:pPr>
        <w:spacing w:after="80"/>
      </w:pPr>
      <w:r>
        <w:t xml:space="preserve">Skincare lines: ~85% utilization — limited headroom without the new filling line</w:t>
      </w:r>
    </w:p>
    <w:p>
      <w:pPr>
        <w:spacing w:after="80"/>
      </w:pPr>
      <w:r>
        <w:t xml:space="preserve">OTC Drug: ~95%+ utilization — actively losing business; $12M capex in progress</w:t>
      </w:r>
    </w:p>
    <w:p>
      <w:pPr>
        <w:spacing w:after="80"/>
      </w:pPr>
      <w:r>
        <w:t xml:space="preserve">Haircare: ~70% utilization — meaningful headroom available</w:t>
      </w:r>
    </w:p>
    <w:p>
      <w:pPr>
        <w:spacing w:after="80"/>
      </w:pPr>
      <w:r>
        <w:t xml:space="preserve">Capex plan: $12M investment for OTC capacity expansion + new high-speed skincare filling line; expected online in 18 months</w:t>
      </w:r>
    </w:p>
    <w:p>
      <w:pPr>
        <w:pStyle w:val="Heading2"/>
        <w:spacing w:after="120" w:before="300"/>
      </w:pPr>
      <w:r>
        <w:t xml:space="preserve">Competitive Strengths</w:t>
      </w:r>
    </w:p>
    <w:p>
      <w:pPr>
        <w:pStyle w:val="ListParagraph"/>
        <w:numPr>
          <w:ilvl w:val="0"/>
          <w:numId w:val="1"/>
        </w:numPr>
        <w:spacing w:after="80"/>
      </w:pPr>
      <w:r>
        <w:t xml:space="preserve">• Formulation speed: 3-week prototype turnaround vs. 6–8 week industry average — a genuine, hard-to-replicate differentiator</w:t>
      </w:r>
    </w:p>
    <w:p>
      <w:pPr>
        <w:pStyle w:val="ListParagraph"/>
        <w:numPr>
          <w:ilvl w:val="0"/>
          <w:numId w:val="1"/>
        </w:numPr>
        <w:spacing w:after="80"/>
      </w:pPr>
      <w:r>
        <w:t xml:space="preserve">• R&amp;D capability: strong formulation team enabling premium product development</w:t>
      </w:r>
    </w:p>
    <w:p>
      <w:pPr>
        <w:pStyle w:val="ListParagraph"/>
        <w:numPr>
          <w:ilvl w:val="0"/>
          <w:numId w:val="1"/>
        </w:numPr>
        <w:spacing w:after="80"/>
      </w:pPr>
      <w:r>
        <w:t xml:space="preserve">• Regulatory depth: strong US and EU expertise — a barrier to entry for less specialized CMs</w:t>
      </w:r>
    </w:p>
    <w:p>
      <w:pPr>
        <w:pStyle w:val="ListParagraph"/>
        <w:numPr>
          <w:ilvl w:val="0"/>
          <w:numId w:val="1"/>
        </w:numPr>
        <w:spacing w:after="80"/>
      </w:pPr>
      <w:r>
        <w:t xml:space="preserve">• Diversified client base: top-5 concentration reduced from 58% to 45% over 3 years</w:t>
      </w:r>
    </w:p>
    <w:p>
      <w:pPr>
        <w:pStyle w:val="Heading2"/>
        <w:spacing w:after="120" w:before="300"/>
      </w:pPr>
      <w:r>
        <w:t xml:space="preserve">Key Vulnerabilities</w:t>
      </w:r>
    </w:p>
    <w:p>
      <w:pPr>
        <w:pStyle w:val="ListParagraph"/>
        <w:numPr>
          <w:ilvl w:val="0"/>
          <w:numId w:val="1"/>
        </w:numPr>
        <w:spacing w:after="80"/>
      </w:pPr>
      <w:r>
        <w:t xml:space="preserve">• Format capability gaps: no aerosol line, no softgel/encapsulation — estimated $8–10M in annual turns-away in supplements alone</w:t>
      </w:r>
    </w:p>
    <w:p>
      <w:pPr>
        <w:pStyle w:val="ListParagraph"/>
        <w:numPr>
          <w:ilvl w:val="0"/>
          <w:numId w:val="1"/>
        </w:numPr>
        <w:spacing w:after="80"/>
      </w:pPr>
      <w:r>
        <w:t xml:space="preserve">• Client concentration: top client still represents 18% of revenue; top-5 at 45%</w:t>
      </w:r>
    </w:p>
    <w:p>
      <w:pPr>
        <w:pStyle w:val="ListParagraph"/>
        <w:numPr>
          <w:ilvl w:val="0"/>
          <w:numId w:val="1"/>
        </w:numPr>
        <w:spacing w:after="80"/>
      </w:pPr>
      <w:r>
        <w:t xml:space="preserve">• APAC regulatory gap: losing APAC launch support opportunities as clients expand globally</w:t>
      </w:r>
    </w:p>
    <w:p>
      <w:pPr>
        <w:pStyle w:val="ListParagraph"/>
        <w:numPr>
          <w:ilvl w:val="0"/>
          <w:numId w:val="1"/>
        </w:numPr>
        <w:spacing w:after="80"/>
      </w:pPr>
      <w:r>
        <w:t xml:space="preserve">• Indie brand churn: fastest growing segment but least sticky — requires ongoing new client acquisition to offset</w:t>
      </w:r>
    </w:p>
    <w:p>
      <w:pPr>
        <w:pStyle w:val="ListParagraph"/>
        <w:numPr>
          <w:ilvl w:val="0"/>
          <w:numId w:val="1"/>
        </w:numPr>
        <w:spacing w:after="80"/>
      </w:pPr>
      <w:r>
        <w:t xml:space="preserve">• ERP and formulation system: aging Coptis setup and ERP infrastructure may limit scalability</w:t>
      </w:r>
    </w:p>
    <w:p>
      <w:pPr>
        <w:pStyle w:val="Heading2"/>
        <w:spacing w:after="120" w:before="300"/>
      </w:pPr>
      <w:r>
        <w:t xml:space="preserve">Strategic Context</w:t>
      </w:r>
    </w:p>
    <w:p>
      <w:pPr>
        <w:spacing w:after="80"/>
      </w:pPr>
      <w:r>
        <w:t xml:space="preserve">This company is at a proven-and-growing stage: a high-quality CM with genuine competitive differentiation in formulation speed and regulatory expertise, a clear growth trajectory, and identified capability gaps that are costing real revenue today. The next strategic chapter is about closing the capability gaps that are turning away known demand, capitalizing on the capacity expansion coming online in 18 months, and building the operational systems to support growth to the $120–140M revenue range.</w:t>
      </w:r>
    </w:p>
    <w:p>
      <w:pPr>
        <w:spacing w:after="60"/>
      </w:pPr>
    </w:p>
    <w:p>
      <w:pPr>
        <w:spacing w:after="80"/>
      </w:pPr>
      <w:r>
        <w:t xml:space="preserve">Note: This assessment is based on a single strategy session. Validate assumptions with your full leadership team and financial data before acting on recommendations.</w:t>
      </w:r>
    </w:p>
    <w:p>
      <w:pPr>
        <w:pageBreakBefore/>
      </w:pPr>
    </w:p>
    <w:p>
      <w:pPr>
        <w:pStyle w:val="Heading1"/>
        <w:pBdr>
          <w:bottom w:val="single" w:color="CCCCCC" w:sz="1" w:space="4"/>
        </w:pBdr>
        <w:spacing w:after="200" w:before="400"/>
      </w:pPr>
      <w:r>
        <w:t xml:space="preserve">Growth Opportunity Matrix</w:t>
      </w:r>
    </w:p>
    <w:p>
      <w:pPr>
        <w:pStyle w:val="Heading2"/>
        <w:spacing w:after="120" w:before="300"/>
      </w:pPr>
      <w:r>
        <w:t xml:space="preserve">Methodology</w:t>
      </w:r>
    </w:p>
    <w:p>
      <w:pPr>
        <w:spacing w:after="80"/>
      </w:pPr>
      <w:r>
        <w:t xml:space="preserve">Opportunities are assessed on two dimensions: revenue impact potential (size of addressable demand) and execution effort (capital, time, capability required). Tier 1 opportunities have clear near-term revenue impact with feasible execution paths. Tier 2 requires meaningful investment or capability build.</w:t>
      </w:r>
    </w:p>
    <w:p>
      <w:pPr>
        <w:pStyle w:val="Heading2"/>
        <w:spacing w:after="120" w:before="300"/>
      </w:pPr>
      <w:r>
        <w:t xml:space="preserve">Tier 1 — High Impact, Lower Effort (pursue now)</w:t>
      </w:r>
    </w:p>
    <w:p>
      <w:pPr>
        <w:spacing w:after="80"/>
      </w:pPr>
      <w:r>
        <w:t xml:space="preserve">1. OTC Capacity Expansion (capex already committed)</w:t>
      </w:r>
    </w:p>
    <w:p>
      <w:pPr>
        <w:spacing w:after="80"/>
      </w:pPr>
      <w:r>
        <w:t xml:space="preserve">Revenue potential: $5–8M incremental from unmet current demand</w:t>
      </w:r>
    </w:p>
    <w:p>
      <w:pPr>
        <w:spacing w:after="80"/>
      </w:pPr>
      <w:r>
        <w:t xml:space="preserve">Required actions: Execute on $12M capex plan; begin pre-selling capacity to OTC clients in pipeline now</w:t>
      </w:r>
    </w:p>
    <w:p>
      <w:pPr>
        <w:spacing w:after="80"/>
      </w:pPr>
      <w:r>
        <w:t xml:space="preserve">Timeline: 18 months to capture</w:t>
      </w:r>
    </w:p>
    <w:p>
      <w:pPr>
        <w:spacing w:after="60"/>
      </w:pPr>
    </w:p>
    <w:p>
      <w:pPr>
        <w:spacing w:after="80"/>
      </w:pPr>
      <w:r>
        <w:t xml:space="preserve">2. Haircare Margin Improvement</w:t>
      </w:r>
    </w:p>
    <w:p>
      <w:pPr>
        <w:spacing w:after="80"/>
      </w:pPr>
      <w:r>
        <w:t xml:space="preserve">Revenue potential: $2–3M EBITDA improvement without revenue growth</w:t>
      </w:r>
    </w:p>
    <w:p>
      <w:pPr>
        <w:spacing w:after="80"/>
      </w:pPr>
      <w:r>
        <w:t xml:space="preserve">Required actions: Product mix optimization toward premium haircare formats; pricing review; R&amp;D efficiency on haircare projects</w:t>
      </w:r>
    </w:p>
    <w:p>
      <w:pPr>
        <w:spacing w:after="80"/>
      </w:pPr>
      <w:r>
        <w:t xml:space="preserve">Timeline: 6–12 months</w:t>
      </w:r>
    </w:p>
    <w:p>
      <w:pPr>
        <w:spacing w:after="60"/>
      </w:pPr>
    </w:p>
    <w:p>
      <w:pPr>
        <w:spacing w:after="80"/>
      </w:pPr>
      <w:r>
        <w:t xml:space="preserve">3. Indie Brand Churn Reduction</w:t>
      </w:r>
    </w:p>
    <w:p>
      <w:pPr>
        <w:spacing w:after="80"/>
      </w:pPr>
      <w:r>
        <w:t xml:space="preserve">Revenue potential: Retaining even 20% of current annual indie churn worth $1.5–2.5M in preserved revenue</w:t>
      </w:r>
    </w:p>
    <w:p>
      <w:pPr>
        <w:spacing w:after="80"/>
      </w:pPr>
      <w:r>
        <w:t xml:space="preserve">Required actions: Structured client success program; project milestone tracking; proactive renewal engagement</w:t>
      </w:r>
    </w:p>
    <w:p>
      <w:pPr>
        <w:spacing w:after="80"/>
      </w:pPr>
      <w:r>
        <w:t xml:space="preserve">Timeline: Immediate — process change, no capital required</w:t>
      </w:r>
    </w:p>
    <w:p>
      <w:pPr>
        <w:pStyle w:val="Heading2"/>
        <w:spacing w:after="120" w:before="300"/>
      </w:pPr>
      <w:r>
        <w:t xml:space="preserve">Tier 2 — High Impact, Higher Effort (plan for)</w:t>
      </w:r>
    </w:p>
    <w:p>
      <w:pPr>
        <w:spacing w:after="80"/>
      </w:pPr>
      <w:r>
        <w:t xml:space="preserve">4. Supplements Capability via Acquisition</w:t>
      </w:r>
    </w:p>
    <w:p>
      <w:pPr>
        <w:spacing w:after="80"/>
      </w:pPr>
      <w:r>
        <w:t xml:space="preserve">Revenue potential: $8–10M in Year 1 from identified turns-away; significantly more at scale</w:t>
      </w:r>
    </w:p>
    <w:p>
      <w:pPr>
        <w:spacing w:after="80"/>
      </w:pPr>
      <w:r>
        <w:t xml:space="preserve">Required actions: Formalize M&amp;A evaluation of supplements CM target; assess capability, culture, regulatory compliance fit; structure deal</w:t>
      </w:r>
    </w:p>
    <w:p>
      <w:pPr>
        <w:spacing w:after="80"/>
      </w:pPr>
      <w:r>
        <w:t xml:space="preserve">Effort: High — M&amp;A process, integration, capital</w:t>
      </w:r>
    </w:p>
    <w:p>
      <w:pPr>
        <w:spacing w:after="80"/>
      </w:pPr>
      <w:r>
        <w:t xml:space="preserve">Timeline: 12–18 months</w:t>
      </w:r>
    </w:p>
    <w:p>
      <w:pPr>
        <w:spacing w:after="60"/>
      </w:pPr>
    </w:p>
    <w:p>
      <w:pPr>
        <w:spacing w:after="80"/>
      </w:pPr>
      <w:r>
        <w:t xml:space="preserve">5. Aerosol Line Investment</w:t>
      </w:r>
    </w:p>
    <w:p>
      <w:pPr>
        <w:spacing w:after="80"/>
      </w:pPr>
      <w:r>
        <w:t xml:space="preserve">Revenue potential: $4–6M in haircare and skincare aerosol demand currently being turned away</w:t>
      </w:r>
    </w:p>
    <w:p>
      <w:pPr>
        <w:spacing w:after="80"/>
      </w:pPr>
      <w:r>
        <w:t xml:space="preserve">Required actions: Feasibility study for aerosol line addition; capex planning for Phase 2 investment post-OTC expansion</w:t>
      </w:r>
    </w:p>
    <w:p>
      <w:pPr>
        <w:spacing w:after="80"/>
      </w:pPr>
      <w:r>
        <w:t xml:space="preserve">Effort: High — capital intensive, regulatory complexity (flammable goods)</w:t>
      </w:r>
    </w:p>
    <w:p>
      <w:pPr>
        <w:spacing w:after="80"/>
      </w:pPr>
      <w:r>
        <w:t xml:space="preserve">Timeline: 24–30 months</w:t>
      </w:r>
    </w:p>
    <w:p>
      <w:pPr>
        <w:pStyle w:val="Heading2"/>
        <w:spacing w:after="120" w:before="300"/>
      </w:pPr>
      <w:r>
        <w:t xml:space="preserve">Tier 3 — Monitor, Not Pursue Now</w:t>
      </w:r>
    </w:p>
    <w:p>
      <w:pPr>
        <w:pStyle w:val="ListParagraph"/>
        <w:numPr>
          <w:ilvl w:val="0"/>
          <w:numId w:val="1"/>
        </w:numPr>
        <w:spacing w:after="80"/>
      </w:pPr>
      <w:r>
        <w:t xml:space="preserve">• APAC regulatory capability: real demand but requires dedicated regulatory investment and expertise hiring; defer 12–18 months pending other priorities</w:t>
      </w:r>
    </w:p>
    <w:p>
      <w:pPr>
        <w:pStyle w:val="ListParagraph"/>
        <w:numPr>
          <w:ilvl w:val="0"/>
          <w:numId w:val="1"/>
        </w:numPr>
        <w:spacing w:after="80"/>
      </w:pPr>
      <w:r>
        <w:t xml:space="preserve">• New category entry (beyond supplements): market opportunity exists but management bandwidth is constrained — sequence after supplements gap is closed</w:t>
      </w:r>
    </w:p>
    <w:p>
      <w:pPr>
        <w:pStyle w:val="Heading2"/>
        <w:spacing w:after="120" w:before="300"/>
      </w:pPr>
      <w:r>
        <w:t xml:space="preserve">Recommended Focus</w:t>
      </w:r>
    </w:p>
    <w:p>
      <w:pPr>
        <w:spacing w:after="80"/>
      </w:pPr>
      <w:r>
        <w:t xml:space="preserve">The single clearest growth bet for the next 12 months: pursue the supplements CM acquisition while executing the OTC capex plan in parallel. Both address known demand being left on the table today, and the acquisition path is faster than building supplements capability from scratch.</w:t>
      </w:r>
    </w:p>
    <w:p>
      <w:pPr>
        <w:pageBreakBefore/>
      </w:pPr>
    </w:p>
    <w:p>
      <w:pPr>
        <w:pStyle w:val="Heading1"/>
        <w:pBdr>
          <w:bottom w:val="single" w:color="CCCCCC" w:sz="1" w:space="4"/>
        </w:pBdr>
        <w:spacing w:after="200" w:before="400"/>
      </w:pPr>
      <w:r>
        <w:t xml:space="preserve">Capability Gap Analysis</w:t>
      </w:r>
    </w:p>
    <w:p>
      <w:pPr>
        <w:pStyle w:val="Heading2"/>
        <w:spacing w:after="120" w:before="300"/>
      </w:pPr>
      <w:r>
        <w:t xml:space="preserve">Market Demand vs. Current Capability</w:t>
      </w:r>
    </w:p>
    <w:p>
      <w:pPr>
        <w:spacing w:after="80"/>
      </w:pPr>
      <w:r>
        <w:t xml:space="preserve">Gap 1: Supplements (softgel/encapsulation)</w:t>
      </w:r>
    </w:p>
    <w:p>
      <w:pPr>
        <w:pStyle w:val="ListParagraph"/>
        <w:numPr>
          <w:ilvl w:val="0"/>
          <w:numId w:val="1"/>
        </w:numPr>
        <w:spacing w:after="80"/>
      </w:pPr>
      <w:r>
        <w:t xml:space="preserve">• Market demand: Strong and growing — beauty-from-within, collagen supplements, women's wellness</w:t>
      </w:r>
    </w:p>
    <w:p>
      <w:pPr>
        <w:pStyle w:val="ListParagraph"/>
        <w:numPr>
          <w:ilvl w:val="0"/>
          <w:numId w:val="1"/>
        </w:numPr>
        <w:spacing w:after="80"/>
      </w:pPr>
      <w:r>
        <w:t xml:space="preserve">• Current capability: None — no encapsulation equipment</w:t>
      </w:r>
    </w:p>
    <w:p>
      <w:pPr>
        <w:pStyle w:val="ListParagraph"/>
        <w:numPr>
          <w:ilvl w:val="0"/>
          <w:numId w:val="1"/>
        </w:numPr>
        <w:spacing w:after="80"/>
      </w:pPr>
      <w:r>
        <w:t xml:space="preserve">• Annual revenue impact: $8–10M in confirmed turns-away</w:t>
      </w:r>
    </w:p>
    <w:p>
      <w:pPr>
        <w:spacing w:after="60"/>
      </w:pPr>
    </w:p>
    <w:p>
      <w:pPr>
        <w:spacing w:after="80"/>
      </w:pPr>
      <w:r>
        <w:t xml:space="preserve">Gap 2: Aerosol (haircare and skincare)</w:t>
      </w:r>
    </w:p>
    <w:p>
      <w:pPr>
        <w:pStyle w:val="ListParagraph"/>
        <w:numPr>
          <w:ilvl w:val="0"/>
          <w:numId w:val="1"/>
        </w:numPr>
        <w:spacing w:after="80"/>
      </w:pPr>
      <w:r>
        <w:t xml:space="preserve">• Market demand: Dry shampoos, setting sprays, hairspray — large and stable category</w:t>
      </w:r>
    </w:p>
    <w:p>
      <w:pPr>
        <w:pStyle w:val="ListParagraph"/>
        <w:numPr>
          <w:ilvl w:val="0"/>
          <w:numId w:val="1"/>
        </w:numPr>
        <w:spacing w:after="80"/>
      </w:pPr>
      <w:r>
        <w:t xml:space="preserve">• Current capability: None — no aerosol filling line</w:t>
      </w:r>
    </w:p>
    <w:p>
      <w:pPr>
        <w:pStyle w:val="ListParagraph"/>
        <w:numPr>
          <w:ilvl w:val="0"/>
          <w:numId w:val="1"/>
        </w:numPr>
        <w:spacing w:after="80"/>
      </w:pPr>
      <w:r>
        <w:t xml:space="preserve">• Annual revenue impact: $4–6M estimated turns-away</w:t>
      </w:r>
    </w:p>
    <w:p>
      <w:pPr>
        <w:spacing w:after="60"/>
      </w:pPr>
    </w:p>
    <w:p>
      <w:pPr>
        <w:spacing w:after="80"/>
      </w:pPr>
      <w:r>
        <w:t xml:space="preserve">Gap 3: APAC Regulatory Expertise</w:t>
      </w:r>
    </w:p>
    <w:p>
      <w:pPr>
        <w:pStyle w:val="ListParagraph"/>
        <w:numPr>
          <w:ilvl w:val="0"/>
          <w:numId w:val="1"/>
        </w:numPr>
        <w:spacing w:after="80"/>
      </w:pPr>
      <w:r>
        <w:t xml:space="preserve">• Market demand: Existing clients expanding to Japan, Korea, China, Australia</w:t>
      </w:r>
    </w:p>
    <w:p>
      <w:pPr>
        <w:pStyle w:val="ListParagraph"/>
        <w:numPr>
          <w:ilvl w:val="0"/>
          <w:numId w:val="1"/>
        </w:numPr>
        <w:spacing w:after="80"/>
      </w:pPr>
      <w:r>
        <w:t xml:space="preserve">• Current capability: Strong US/EU; no APAC regulatory staff or processes</w:t>
      </w:r>
    </w:p>
    <w:p>
      <w:pPr>
        <w:pStyle w:val="ListParagraph"/>
        <w:numPr>
          <w:ilvl w:val="0"/>
          <w:numId w:val="1"/>
        </w:numPr>
        <w:spacing w:after="80"/>
      </w:pPr>
      <w:r>
        <w:t xml:space="preserve">• Annual revenue impact: Difficult to quantify — primarily relationship and retention risk</w:t>
      </w:r>
    </w:p>
    <w:p>
      <w:pPr>
        <w:pStyle w:val="Heading2"/>
        <w:spacing w:after="120" w:before="300"/>
      </w:pPr>
      <w:r>
        <w:t xml:space="preserve">Cost of the Gaps</w:t>
      </w:r>
    </w:p>
    <w:p>
      <w:pPr>
        <w:pStyle w:val="ListParagraph"/>
        <w:numPr>
          <w:ilvl w:val="0"/>
          <w:numId w:val="1"/>
        </w:numPr>
        <w:spacing w:after="80"/>
      </w:pPr>
      <w:r>
        <w:t xml:space="preserve">• Supplements gap: $8–10M confirmed annual turns-away — highest cost gap</w:t>
      </w:r>
    </w:p>
    <w:p>
      <w:pPr>
        <w:pStyle w:val="ListParagraph"/>
        <w:numPr>
          <w:ilvl w:val="0"/>
          <w:numId w:val="1"/>
        </w:numPr>
        <w:spacing w:after="80"/>
      </w:pPr>
      <w:r>
        <w:t xml:space="preserve">• Aerosol gap: $4–6M estimated — second highest cost gap</w:t>
      </w:r>
    </w:p>
    <w:p>
      <w:pPr>
        <w:pStyle w:val="ListParagraph"/>
        <w:numPr>
          <w:ilvl w:val="0"/>
          <w:numId w:val="1"/>
        </w:numPr>
        <w:spacing w:after="80"/>
      </w:pPr>
      <w:r>
        <w:t xml:space="preserve">• APAC gap: Primarily retention and expansion risk rather than new revenue — hard to quantify but strategically significant as existing clients grow globally</w:t>
      </w:r>
    </w:p>
    <w:p>
      <w:pPr>
        <w:pStyle w:val="ListParagraph"/>
        <w:numPr>
          <w:ilvl w:val="0"/>
          <w:numId w:val="1"/>
        </w:numPr>
        <w:spacing w:after="80"/>
      </w:pPr>
      <w:r>
        <w:t xml:space="preserve">• Total identified opportunity cost: $12–16M annually from the top two format gaps alone</w:t>
      </w:r>
    </w:p>
    <w:p>
      <w:pPr>
        <w:pStyle w:val="Heading2"/>
        <w:spacing w:after="120" w:before="300"/>
      </w:pPr>
      <w:r>
        <w:t xml:space="preserve">Build vs. Buy vs. Partner Assessment</w:t>
      </w:r>
    </w:p>
    <w:p>
      <w:pPr>
        <w:spacing w:after="80"/>
      </w:pPr>
      <w:r>
        <w:t xml:space="preserve">Supplements:</w:t>
      </w:r>
    </w:p>
    <w:p>
      <w:pPr>
        <w:pStyle w:val="ListParagraph"/>
        <w:numPr>
          <w:ilvl w:val="0"/>
          <w:numId w:val="1"/>
        </w:numPr>
        <w:spacing w:after="80"/>
      </w:pPr>
      <w:r>
        <w:t xml:space="preserve">• Build: 24–30 months, $8–12M capex for encapsulation line — slow relative to demand</w:t>
      </w:r>
    </w:p>
    <w:p>
      <w:pPr>
        <w:pStyle w:val="ListParagraph"/>
        <w:numPr>
          <w:ilvl w:val="0"/>
          <w:numId w:val="1"/>
        </w:numPr>
        <w:spacing w:after="80"/>
      </w:pPr>
      <w:r>
        <w:t xml:space="preserve">• Buy: 12–18 months, M&amp;A premium but immediate capability — preferred path given identified acquisition target</w:t>
      </w:r>
    </w:p>
    <w:p>
      <w:pPr>
        <w:pStyle w:val="ListParagraph"/>
        <w:numPr>
          <w:ilvl w:val="0"/>
          <w:numId w:val="1"/>
        </w:numPr>
        <w:spacing w:after="80"/>
      </w:pPr>
      <w:r>
        <w:t xml:space="preserve">• Partner: Toll manufacturing arrangement could bridge near-term while acquisition is evaluated</w:t>
      </w:r>
    </w:p>
    <w:p>
      <w:pPr>
        <w:spacing w:after="60"/>
      </w:pPr>
    </w:p>
    <w:p>
      <w:pPr>
        <w:spacing w:after="80"/>
      </w:pPr>
      <w:r>
        <w:t xml:space="preserve">Aerosol:</w:t>
      </w:r>
    </w:p>
    <w:p>
      <w:pPr>
        <w:pStyle w:val="ListParagraph"/>
        <w:numPr>
          <w:ilvl w:val="0"/>
          <w:numId w:val="1"/>
        </w:numPr>
        <w:spacing w:after="80"/>
      </w:pPr>
      <w:r>
        <w:t xml:space="preserve">• Build: 24–30 months, $6–10M capex — sequenced after OTC expansion</w:t>
      </w:r>
    </w:p>
    <w:p>
      <w:pPr>
        <w:pStyle w:val="ListParagraph"/>
        <w:numPr>
          <w:ilvl w:val="0"/>
          <w:numId w:val="1"/>
        </w:numPr>
        <w:spacing w:after="80"/>
      </w:pPr>
      <w:r>
        <w:t xml:space="preserve">• Buy: No obvious acquisition target identified — evaluate opportunistically</w:t>
      </w:r>
    </w:p>
    <w:p>
      <w:pPr>
        <w:pStyle w:val="ListParagraph"/>
        <w:numPr>
          <w:ilvl w:val="0"/>
          <w:numId w:val="1"/>
        </w:numPr>
        <w:spacing w:after="80"/>
      </w:pPr>
      <w:r>
        <w:t xml:space="preserve">• Partner: Toll arrangement feasible short-term; lower strategic value than owning the capability</w:t>
      </w:r>
    </w:p>
    <w:p>
      <w:pPr>
        <w:spacing w:after="60"/>
      </w:pPr>
    </w:p>
    <w:p>
      <w:pPr>
        <w:spacing w:after="80"/>
      </w:pPr>
      <w:r>
        <w:t xml:space="preserve">APAC Regulatory:</w:t>
      </w:r>
    </w:p>
    <w:p>
      <w:pPr>
        <w:pStyle w:val="ListParagraph"/>
        <w:numPr>
          <w:ilvl w:val="0"/>
          <w:numId w:val="1"/>
        </w:numPr>
        <w:spacing w:after="80"/>
      </w:pPr>
      <w:r>
        <w:t xml:space="preserve">• Build: Hire regulatory specialist with APAC expertise; 3–6 months to operationalize</w:t>
      </w:r>
    </w:p>
    <w:p>
      <w:pPr>
        <w:pStyle w:val="ListParagraph"/>
        <w:numPr>
          <w:ilvl w:val="0"/>
          <w:numId w:val="1"/>
        </w:numPr>
        <w:spacing w:after="80"/>
      </w:pPr>
      <w:r>
        <w:t xml:space="preserve">• Partner: Engage APAC regulatory consulting firm on a per-project basis — lower cost, lower commitment</w:t>
      </w:r>
    </w:p>
    <w:p>
      <w:pPr>
        <w:pStyle w:val="ListParagraph"/>
        <w:numPr>
          <w:ilvl w:val="0"/>
          <w:numId w:val="1"/>
        </w:numPr>
        <w:spacing w:after="80"/>
      </w:pPr>
      <w:r>
        <w:t xml:space="preserve">• Recommended: Start with a regulatory consulting partner while assessing whether volume justifies a hire</w:t>
      </w:r>
    </w:p>
    <w:p>
      <w:pPr>
        <w:pStyle w:val="Heading2"/>
        <w:spacing w:after="120" w:before="300"/>
      </w:pPr>
      <w:r>
        <w:t xml:space="preserve">Priority Order</w:t>
      </w:r>
    </w:p>
    <w:p>
      <w:pPr>
        <w:spacing w:after="80"/>
      </w:pPr>
      <w:r>
        <w:t xml:space="preserve">1. Supplements acquisition (highest revenue impact, fastest path via acquisition)</w:t>
      </w:r>
    </w:p>
    <w:p>
      <w:pPr>
        <w:spacing w:after="80"/>
      </w:pPr>
      <w:r>
        <w:t xml:space="preserve">2. APAC regulatory consulting engagement (low cost, protects existing client relationships)</w:t>
      </w:r>
    </w:p>
    <w:p>
      <w:pPr>
        <w:spacing w:after="80"/>
      </w:pPr>
      <w:r>
        <w:t xml:space="preserve">3. Aerosol feasibility study (plan for Phase 2 capex post-OTC expansion)</w:t>
      </w:r>
    </w:p>
    <w:p>
      <w:pPr>
        <w:spacing w:after="80"/>
      </w:pPr>
      <w:r>
        <w:t xml:space="preserve">4. Formulation system upgrade (Coptis replacement to support scale)</w:t>
      </w:r>
    </w:p>
    <w:p>
      <w:pPr>
        <w:pStyle w:val="Heading2"/>
        <w:spacing w:after="120" w:before="300"/>
      </w:pPr>
      <w:r>
        <w:t xml:space="preserve">Investment Estimate Range</w:t>
      </w:r>
    </w:p>
    <w:p>
      <w:pPr>
        <w:pStyle w:val="ListParagraph"/>
        <w:numPr>
          <w:ilvl w:val="0"/>
          <w:numId w:val="1"/>
        </w:numPr>
        <w:spacing w:after="80"/>
      </w:pPr>
      <w:r>
        <w:t xml:space="preserve">• Supplements acquisition: $5–15M depending on target size and structure; potential for earn-out to reduce upfront capital</w:t>
      </w:r>
    </w:p>
    <w:p>
      <w:pPr>
        <w:pStyle w:val="ListParagraph"/>
        <w:numPr>
          <w:ilvl w:val="0"/>
          <w:numId w:val="1"/>
        </w:numPr>
        <w:spacing w:after="80"/>
      </w:pPr>
      <w:r>
        <w:t xml:space="preserve">• Aerosol line: $6–10M capex; 18–24 months to commission</w:t>
      </w:r>
    </w:p>
    <w:p>
      <w:pPr>
        <w:pStyle w:val="ListParagraph"/>
        <w:numPr>
          <w:ilvl w:val="0"/>
          <w:numId w:val="1"/>
        </w:numPr>
        <w:spacing w:after="80"/>
      </w:pPr>
      <w:r>
        <w:t xml:space="preserve">• APAC regulatory: $50–100K annually for consulting; $150–200K fully-loaded cost if in-house hire</w:t>
      </w:r>
    </w:p>
    <w:p>
      <w:pPr>
        <w:spacing w:after="60"/>
      </w:pPr>
    </w:p>
    <w:p>
      <w:pPr>
        <w:spacing w:after="80"/>
      </w:pPr>
      <w:r>
        <w:t xml:space="preserve">Note: All estimates are directional. Formal feasibility studies required before capital commitment.</w:t>
      </w:r>
    </w:p>
    <w:p>
      <w:pPr>
        <w:pageBreakBefore/>
      </w:pPr>
    </w:p>
    <w:p>
      <w:pPr>
        <w:pStyle w:val="Heading1"/>
        <w:pBdr>
          <w:bottom w:val="single" w:color="CCCCCC" w:sz="1" w:space="4"/>
        </w:pBdr>
        <w:spacing w:after="200" w:before="400"/>
      </w:pPr>
      <w:r>
        <w:t xml:space="preserve">12-Month Strategic Priorities</w:t>
      </w:r>
    </w:p>
    <w:p>
      <w:pPr>
        <w:pStyle w:val="Heading2"/>
        <w:spacing w:after="120" w:before="300"/>
      </w:pPr>
      <w:r>
        <w:t xml:space="preserve">Strategic Intent</w:t>
      </w:r>
    </w:p>
    <w:p>
      <w:pPr>
        <w:spacing w:after="80"/>
      </w:pPr>
      <w:r>
        <w:t xml:space="preserve">In 12 months, this company will have closed the supplements capability gap via acquisition or formal partnership, defended its client concentration position, and initiated the operational upgrades needed to support growth toward $110M+ revenue.</w:t>
      </w:r>
    </w:p>
    <w:p>
      <w:pPr>
        <w:pStyle w:val="Heading2"/>
        <w:spacing w:after="120" w:before="300"/>
      </w:pPr>
      <w:r>
        <w:t xml:space="preserve">Priority 1 — Supplements Capability Acquisition</w:t>
      </w:r>
    </w:p>
    <w:p>
      <w:pPr>
        <w:spacing w:after="80"/>
      </w:pPr>
      <w:r>
        <w:t xml:space="preserve">Objective: Secure encapsulation capability to capture $8–10M in identified demand</w:t>
      </w:r>
    </w:p>
    <w:p>
      <w:pPr>
        <w:pStyle w:val="ListParagraph"/>
        <w:numPr>
          <w:ilvl w:val="0"/>
          <w:numId w:val="1"/>
        </w:numPr>
        <w:spacing w:after="80"/>
      </w:pPr>
      <w:r>
        <w:t xml:space="preserve">• Key actions: Formalize M&amp;A evaluation process; engage advisor; complete due diligence on identified target by Q2; close or establish toll partnership by Q3</w:t>
      </w:r>
    </w:p>
    <w:p>
      <w:pPr>
        <w:pStyle w:val="ListParagraph"/>
        <w:numPr>
          <w:ilvl w:val="0"/>
          <w:numId w:val="1"/>
        </w:numPr>
        <w:spacing w:after="80"/>
      </w:pPr>
      <w:r>
        <w:t xml:space="preserve">• Owner function: CEO + CFO + Corporate Development</w:t>
      </w:r>
    </w:p>
    <w:p>
      <w:pPr>
        <w:pStyle w:val="ListParagraph"/>
        <w:numPr>
          <w:ilvl w:val="0"/>
          <w:numId w:val="1"/>
        </w:numPr>
        <w:spacing w:after="80"/>
      </w:pPr>
      <w:r>
        <w:t xml:space="preserve">• Success metric: Capability in place and first supplements client contracted by month 12</w:t>
      </w:r>
    </w:p>
    <w:p>
      <w:pPr>
        <w:pStyle w:val="Heading2"/>
        <w:spacing w:after="120" w:before="300"/>
      </w:pPr>
      <w:r>
        <w:t xml:space="preserve">Priority 2 — OTC Expansion Execution</w:t>
      </w:r>
    </w:p>
    <w:p>
      <w:pPr>
        <w:spacing w:after="80"/>
      </w:pPr>
      <w:r>
        <w:t xml:space="preserve">Objective: Bring new OTC capacity online on time and pre-sell to pipeline clients</w:t>
      </w:r>
    </w:p>
    <w:p>
      <w:pPr>
        <w:pStyle w:val="ListParagraph"/>
        <w:numPr>
          <w:ilvl w:val="0"/>
          <w:numId w:val="1"/>
        </w:numPr>
        <w:spacing w:after="80"/>
      </w:pPr>
      <w:r>
        <w:t xml:space="preserve">• Key actions: Maintain capex project on schedule; assign commercial lead to OTC pipeline; pre-sell at least 60% of new capacity before commissioning</w:t>
      </w:r>
    </w:p>
    <w:p>
      <w:pPr>
        <w:pStyle w:val="ListParagraph"/>
        <w:numPr>
          <w:ilvl w:val="0"/>
          <w:numId w:val="1"/>
        </w:numPr>
        <w:spacing w:after="80"/>
      </w:pPr>
      <w:r>
        <w:t xml:space="preserve">• Owner function: COO (capex execution) + VP Sales (pipeline)</w:t>
      </w:r>
    </w:p>
    <w:p>
      <w:pPr>
        <w:pStyle w:val="ListParagraph"/>
        <w:numPr>
          <w:ilvl w:val="0"/>
          <w:numId w:val="1"/>
        </w:numPr>
        <w:spacing w:after="80"/>
      </w:pPr>
      <w:r>
        <w:t xml:space="preserve">• Success metric: New OTC line commissioned on schedule; $4M in new OTC contracts signed before go-live</w:t>
      </w:r>
    </w:p>
    <w:p>
      <w:pPr>
        <w:pStyle w:val="Heading2"/>
        <w:spacing w:after="120" w:before="300"/>
      </w:pPr>
      <w:r>
        <w:t xml:space="preserve">Priority 3 — Indie Brand Retention Program</w:t>
      </w:r>
    </w:p>
    <w:p>
      <w:pPr>
        <w:spacing w:after="80"/>
      </w:pPr>
      <w:r>
        <w:t xml:space="preserve">Objective: Reduce indie brand churn by 20%+ through structured client success</w:t>
      </w:r>
    </w:p>
    <w:p>
      <w:pPr>
        <w:pStyle w:val="ListParagraph"/>
        <w:numPr>
          <w:ilvl w:val="0"/>
          <w:numId w:val="1"/>
        </w:numPr>
        <w:spacing w:after="80"/>
      </w:pPr>
      <w:r>
        <w:t xml:space="preserve">• Key actions: Define client health scoring model; assign client success ownership; implement quarterly business reviews for top 20 indie clients; create early-warning process for at-risk accounts</w:t>
      </w:r>
    </w:p>
    <w:p>
      <w:pPr>
        <w:pStyle w:val="ListParagraph"/>
        <w:numPr>
          <w:ilvl w:val="0"/>
          <w:numId w:val="1"/>
        </w:numPr>
        <w:spacing w:after="80"/>
      </w:pPr>
      <w:r>
        <w:t xml:space="preserve">• Owner function: VP Sales + Client Services</w:t>
      </w:r>
    </w:p>
    <w:p>
      <w:pPr>
        <w:pStyle w:val="ListParagraph"/>
        <w:numPr>
          <w:ilvl w:val="0"/>
          <w:numId w:val="1"/>
        </w:numPr>
        <w:spacing w:after="80"/>
      </w:pPr>
      <w:r>
        <w:t xml:space="preserve">• Success metric: Indie brand churn rate tracked and reduced from current baseline by month 6</w:t>
      </w:r>
    </w:p>
    <w:p>
      <w:pPr>
        <w:pStyle w:val="Heading2"/>
        <w:spacing w:after="120" w:before="300"/>
      </w:pPr>
      <w:r>
        <w:t xml:space="preserve">Priority 4 — Formulation System Modernization</w:t>
      </w:r>
    </w:p>
    <w:p>
      <w:pPr>
        <w:spacing w:after="80"/>
      </w:pPr>
      <w:r>
        <w:t xml:space="preserve">Objective: Replace Coptis with Ithos or equivalent to support R&amp;D scalability and regulatory depth</w:t>
      </w:r>
    </w:p>
    <w:p>
      <w:pPr>
        <w:pStyle w:val="ListParagraph"/>
        <w:numPr>
          <w:ilvl w:val="0"/>
          <w:numId w:val="1"/>
        </w:numPr>
        <w:spacing w:after="80"/>
      </w:pPr>
      <w:r>
        <w:t xml:space="preserve">• Key actions: Complete Ithos evaluation by Q1; make build/buy decision; begin migration planning by Q2</w:t>
      </w:r>
    </w:p>
    <w:p>
      <w:pPr>
        <w:pStyle w:val="ListParagraph"/>
        <w:numPr>
          <w:ilvl w:val="0"/>
          <w:numId w:val="1"/>
        </w:numPr>
        <w:spacing w:after="80"/>
      </w:pPr>
      <w:r>
        <w:t xml:space="preserve">• Owner function: VP R&amp;D + IT</w:t>
      </w:r>
    </w:p>
    <w:p>
      <w:pPr>
        <w:pStyle w:val="ListParagraph"/>
        <w:numPr>
          <w:ilvl w:val="0"/>
          <w:numId w:val="1"/>
        </w:numPr>
        <w:spacing w:after="80"/>
      </w:pPr>
      <w:r>
        <w:t xml:space="preserve">• Success metric: New system selected and migration plan approved by month 6</w:t>
      </w:r>
    </w:p>
    <w:p>
      <w:pPr>
        <w:pStyle w:val="Heading2"/>
        <w:spacing w:after="120" w:before="300"/>
      </w:pPr>
      <w:r>
        <w:t xml:space="preserve">What We Are NOT Doing</w:t>
      </w:r>
    </w:p>
    <w:p>
      <w:pPr>
        <w:pStyle w:val="ListParagraph"/>
        <w:numPr>
          <w:ilvl w:val="0"/>
          <w:numId w:val="1"/>
        </w:numPr>
        <w:spacing w:after="80"/>
      </w:pPr>
      <w:r>
        <w:t xml:space="preserve">• Aerosol line investment — defer until OTC capex is complete and supplements gap is resolved</w:t>
      </w:r>
    </w:p>
    <w:p>
      <w:pPr>
        <w:pStyle w:val="ListParagraph"/>
        <w:numPr>
          <w:ilvl w:val="0"/>
          <w:numId w:val="1"/>
        </w:numPr>
        <w:spacing w:after="80"/>
      </w:pPr>
      <w:r>
        <w:t xml:space="preserve">• APAC market entry as a primary initiative — address via consulting partnership only</w:t>
      </w:r>
    </w:p>
    <w:p>
      <w:pPr>
        <w:pStyle w:val="ListParagraph"/>
        <w:numPr>
          <w:ilvl w:val="0"/>
          <w:numId w:val="1"/>
        </w:numPr>
        <w:spacing w:after="80"/>
      </w:pPr>
      <w:r>
        <w:t xml:space="preserve">• New category entry beyond supplements — maintain focus</w:t>
      </w:r>
    </w:p>
    <w:p>
      <w:pPr>
        <w:pStyle w:val="ListParagraph"/>
        <w:numPr>
          <w:ilvl w:val="0"/>
          <w:numId w:val="1"/>
        </w:numPr>
        <w:spacing w:after="80"/>
      </w:pPr>
      <w:r>
        <w:t xml:space="preserve">• Significant new enterprise client pursuits that would increase top-client concentration</w:t>
      </w:r>
    </w:p>
    <w:p>
      <w:pPr>
        <w:pStyle w:val="Heading2"/>
        <w:spacing w:after="120" w:before="300"/>
      </w:pPr>
      <w:r>
        <w:t xml:space="preserve">90-Day Milestones</w:t>
      </w:r>
    </w:p>
    <w:p>
      <w:pPr>
        <w:spacing w:after="80"/>
      </w:pPr>
      <w:r>
        <w:t xml:space="preserve">1. Month 1: Appoint M&amp;A lead for supplements acquisition evaluation; engage advisor or begin direct diligence on identified target</w:t>
      </w:r>
    </w:p>
    <w:p>
      <w:pPr>
        <w:spacing w:after="80"/>
      </w:pPr>
      <w:r>
        <w:t xml:space="preserve">2. Month 1: Launch indie brand health scoring — baseline current churn rate and identify top 10 at-risk accounts</w:t>
      </w:r>
    </w:p>
    <w:p>
      <w:pPr>
        <w:spacing w:after="80"/>
      </w:pPr>
      <w:r>
        <w:t xml:space="preserve">3. Month 2: Complete Ithos vs. alternatives evaluation; present recommendation to leadership</w:t>
      </w:r>
    </w:p>
    <w:p>
      <w:pPr>
        <w:spacing w:after="60"/>
      </w:pPr>
    </w:p>
    <w:p>
      <w:pPr>
        <w:spacing w:after="80"/>
      </w:pPr>
      <w:r>
        <w:t xml:space="preserve">Note: This assessment is based on a single strategy session. Validate assumptions with your full leadership team and financial data before acting on recommendations.</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Situation Assessment</dc:title>
  <dc:creator>CosmoLab AI</dc:creator>
  <cp:lastModifiedBy>Un-named</cp:lastModifiedBy>
  <cp:revision>1</cp:revision>
  <dcterms:created xsi:type="dcterms:W3CDTF">2026-03-21T22:58:31.612Z</dcterms:created>
  <dcterms:modified xsi:type="dcterms:W3CDTF">2026-03-21T22:58:31.614Z</dcterms:modified>
</cp:coreProperties>
</file>

<file path=docProps/custom.xml><?xml version="1.0" encoding="utf-8"?>
<Properties xmlns="http://schemas.openxmlformats.org/officeDocument/2006/custom-properties" xmlns:vt="http://schemas.openxmlformats.org/officeDocument/2006/docPropsVTypes"/>
</file>