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text" w:horzAnchor="margin" w:tblpXSpec="center" w:tblpY="12381"/>
        <w:tblOverlap w:val="never"/>
        <w:tblW w:w="5000" w:type="pct"/>
        <w:tblBorders>
          <w:bottom w:val="single" w:sz="4" w:space="0" w:color="auto"/>
        </w:tblBorders>
        <w:tblLook w:val="01E0" w:firstRow="1" w:lastRow="1" w:firstColumn="1" w:lastColumn="1" w:noHBand="0" w:noVBand="0"/>
      </w:tblPr>
      <w:tblGrid>
        <w:gridCol w:w="8306"/>
      </w:tblGrid>
      <w:tr w:rsidR="00654DC4" w:rsidRPr="0063238C" w14:paraId="1DF5CB0E" w14:textId="77777777" w:rsidTr="00C9169D">
        <w:tc>
          <w:tcPr>
            <w:tcW w:w="5000" w:type="pct"/>
          </w:tcPr>
          <w:p w14:paraId="524436C3" w14:textId="57BBD124" w:rsidR="00654DC4" w:rsidRPr="009908A3" w:rsidRDefault="00654DC4" w:rsidP="006260E9">
            <w:pPr>
              <w:pBdr>
                <w:bottom w:val="single" w:sz="4" w:space="1" w:color="auto"/>
              </w:pBdr>
              <w:spacing w:before="0" w:after="0" w:line="240" w:lineRule="auto"/>
              <w:jc w:val="center"/>
              <w:rPr>
                <w:rFonts w:eastAsia="Times New Roman" w:cs="David"/>
                <w:sz w:val="28"/>
                <w:szCs w:val="28"/>
                <w:rtl/>
              </w:rPr>
            </w:pPr>
          </w:p>
        </w:tc>
      </w:tr>
    </w:tbl>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b/>
                <w:smallCaps/>
                <w:sz w:val="40"/>
                <w:szCs w:val="40"/>
                <w:highlight w:val="yellow"/>
                <w:lang w:bidi="ar-SA"/>
              </w:rPr>
              <w:t>Orchid - IT Distribution - US - 2022-2024</w:t>
            </w:r>
            <w:proofErr w:type="spellStart"/>
            <w:r w:rsidR="00557C2F">
              <w:rPr>
                <w:rFonts w:eastAsia="Times New Roman" w:cs="Times New Roman"/>
                <w:b/>
                <w:smallCaps/>
                <w:sz w:val="40"/>
                <w:szCs w:val="40"/>
                <w:lang w:bidi="ar-SA"/>
              </w:rPr>
            </w:r>
            <w:proofErr w:type="gramEnd"/>
            <w:r w:rsidR="00557C2F">
              <w:rPr>
                <w:rFonts w:eastAsia="Times New Roman" w:cs="Times New Roman"/>
                <w:b/>
                <w:smallCaps/>
                <w:sz w:val="40"/>
                <w:szCs w:val="40"/>
                <w:lang w:bidi="ar-SA"/>
              </w:rPr>
            </w:r>
            <w:proofErr w:type="gramStart"/>
            <w:r w:rsidR="00557C2F">
              <w:rPr>
                <w:rFonts w:eastAsia="Times New Roman" w:cs="Times New Roman"/>
                <w:b/>
                <w:smallCaps/>
                <w:sz w:val="40"/>
                <w:szCs w:val="40"/>
                <w:lang w:bidi="ar-SA"/>
              </w:rPr>
            </w:r>
            <w:proofErr w:type="spellEnd"/>
            <w:r w:rsidR="007461AA">
              <w:rPr>
                <w:rFonts w:eastAsia="Times New Roman" w:cs="Times New Roman"/>
                <w:b/>
                <w:smallCaps/>
                <w:sz w:val="40"/>
                <w:szCs w:val="40"/>
                <w:lang w:bidi="ar-SA"/>
              </w:rPr>
            </w:r>
            <w:proofErr w:type="gramEnd"/>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0CB37E10" w14:textId="77777777" w:rsidR="00ED179A" w:rsidRDefault="00ED179A">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57E0AA29"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proofErr w:type="gramStart"/>
      <w:r w:rsidR="00B62FDF"/>
      <w:proofErr w:type="spellStart"/>
      <w:r w:rsidR="00AA75FE"/>
      <w:r w:rsidR="00AA75FE" w:rsidRPr="00AA75FE"/>
      <w:proofErr w:type="gramEnd"/>
      <w:r w:rsidR="00AA75FE"/>
      <w:proofErr w:type="gramStart"/>
      <w:r w:rsidR="00AA75FE"/>
      <w:r w:rsidR="00AA75FE" w:rsidRPr="00AA75FE"/>
      <w:proofErr w:type="spellEnd"/>
      <w:r w:rsidR="007461AA"/>
      <w:proofErr w:type="gramEnd"/>
      <w:r w:rsidR="007461AA"/>
      <w:r w:rsidR="00ED179A" w:rsidRPr="008505A9"/>
      <w:r w:rsidR="00ED179A" w:rsidRPr="00A253C3"/>
      <w:proofErr w:type="gramStart"/>
      <w:r w:rsidR="00B62FDF"/>
      <w:proofErr w:type="spellStart"/>
      <w:r w:rsidR="00AA75FE"/>
      <w:r w:rsidR="00AA75FE" w:rsidRPr="00AA75FE"/>
      <w:proofErr w:type="gramEnd"/>
      <w:r w:rsidR="00AA75FE"/>
      <w:r w:rsidR="00AA75FE" w:rsidRPr="00AA75FE"/>
      <w:r w:rsidR="00AA75FE"/>
      <w:proofErr w:type="gramStart"/>
      <w:r w:rsidR="00AA75FE"/>
      <w:proofErr w:type="spellEnd"/>
      <w:r w:rsidR="007461AA"/>
      <w:proofErr w:type="gramEnd"/>
      <w:r w:rsidR="007461AA"/>
      <w:r w:rsidR="00ED179A" w:rsidRPr="00A253C3"/>
      <w:r>
        <w:rPr>
          <w:highlight w:val="yellow"/>
        </w:rPr>
        <w:t>Compustat NA</w:t>
      </w:r>
      <w:r>
        <w:rPr/>
        <w:t xml:space="preserve"> (</w:t>
      </w:r>
      <w:r>
        <w:rPr>
          <w:highlight w:val="yellow"/>
        </w:rPr>
        <w:t>Apr 2026</w:t>
      </w:r>
      <w:r>
        <w:rPr/>
        <w:t xml:space="preserve">). </w:t>
      </w:r>
    </w:p>
    <w:p w14:paraId="2F4C780B" w14:textId="77777777" w:rsidR="00B15A51" w:rsidRDefault="00ED179A" w:rsidP="00ED179A">
      <w:pPr>
        <w:widowControl w:val="0"/>
        <w:adjustRightInd w:val="0"/>
        <w:spacing w:before="200" w:after="200"/>
        <w:textAlignment w:val="baseline"/>
      </w:pPr>
      <w:r w:rsidRPr="00A253C3">
        <w:t xml:space="preserve">The geographical screening was applied containing the following regions: </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proofErr w:type="gramStart"/>
      <w:r>
        <w:rPr>
          <w:rFonts w:ascii="Univers 45 Light" w:hAnsi="Univers 45 Light"/>
          <w:sz w:val="22"/>
          <w:szCs w:val="22"/>
          <w:highlight w:val="red"/>
        </w:rPr>
        <w:t>{{ country_of_incorporation }}</w:t>
      </w:r>
      <w:proofErr w:type="spellStart"/>
      <w:r w:rsidR="00AA75FE">
        <w:rPr>
          <w:rFonts w:ascii="Univers 45 Light" w:hAnsi="Univers 45 Light"/>
          <w:sz w:val="22"/>
          <w:szCs w:val="22"/>
        </w:rPr>
      </w:r>
      <w:r w:rsidR="00AA75FE" w:rsidRPr="00AA75FE">
        <w:rPr>
          <w:rFonts w:ascii="Univers 45 Light" w:hAnsi="Univers 45 Light"/>
          <w:sz w:val="22"/>
          <w:szCs w:val="22"/>
        </w:rPr>
      </w:r>
      <w:proofErr w:type="gramEnd"/>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proofErr w:type="gramStart"/>
      <w:r w:rsidR="00AA75FE">
        <w:rPr>
          <w:rFonts w:ascii="Univers 45 Light" w:hAnsi="Univers 45 Light"/>
          <w:sz w:val="22"/>
          <w:szCs w:val="22"/>
        </w:rPr>
      </w:r>
      <w:r w:rsidR="00AA75FE" w:rsidRPr="00AA75FE">
        <w:rPr>
          <w:rFonts w:ascii="Univers 45 Light" w:hAnsi="Univers 45 Light"/>
          <w:sz w:val="22"/>
          <w:szCs w:val="22"/>
        </w:rPr>
      </w:r>
      <w:proofErr w:type="spellEnd"/>
      <w:r w:rsidR="007461AA">
        <w:rPr>
          <w:rFonts w:ascii="Univers 45 Light" w:hAnsi="Univers 45 Light"/>
          <w:sz w:val="22"/>
          <w:szCs w:val="22"/>
        </w:rPr>
      </w:r>
      <w:proofErr w:type="gramEnd"/>
      <w:r w:rsidR="007461AA">
        <w:rPr>
          <w:rFonts w:ascii="Univers 45 Light" w:hAnsi="Univers 45 Light"/>
          <w:sz w:val="22"/>
          <w:szCs w:val="22"/>
        </w:rPr>
      </w:r>
    </w:p>
    <w:p w14:paraId="393EC38F" w14:textId="6EB207FA" w:rsidR="00A9283E" w:rsidRPr="00B15A51" w:rsidRDefault="00A9283E" w:rsidP="00B15A51">
      <w:pPr>
        <w:pStyle w:val="ListParagraph"/>
        <w:widowControl w:val="0"/>
        <w:numPr>
          <w:ilvl w:val="0"/>
          <w:numId w:val="45"/>
        </w:numPr>
        <w:adjustRightInd w:val="0"/>
        <w:textAlignment w:val="baseline"/>
        <w:rPr>
          <w:rFonts w:ascii="Univers 45 Light" w:hAnsi="Univers 45 Light"/>
          <w:sz w:val="22"/>
          <w:szCs w:val="22"/>
        </w:rPr>
      </w:pPr>
      <w:proofErr w:type="gramStart"/>
      <w:r>
        <w:rPr>
          <w:rFonts w:ascii="Univers 45 Light" w:hAnsi="Univers 45 Light"/>
          <w:sz w:val="22"/>
          <w:szCs w:val="22"/>
          <w:highlight w:val="yellow"/>
          <w:lang w:bidi="he-IL"/>
        </w:rPr>
        <w:t>And are active companies</w:t>
      </w:r>
      <w:proofErr w:type="spellStart"/>
      <w:r>
        <w:rPr>
          <w:rFonts w:ascii="Univers 45 Light" w:hAnsi="Univers 45 Light"/>
          <w:sz w:val="22"/>
          <w:szCs w:val="22"/>
          <w:lang w:bidi="he-IL"/>
        </w:rPr>
      </w:r>
      <w:proofErr w:type="gramEnd"/>
      <w:r>
        <w:rPr>
          <w:rFonts w:ascii="Univers 45 Light" w:hAnsi="Univers 45 Light"/>
          <w:sz w:val="22"/>
          <w:szCs w:val="22"/>
          <w:lang w:bidi="he-IL"/>
        </w:rPr>
      </w:r>
      <w:proofErr w:type="gramStart"/>
      <w:r>
        <w:rPr>
          <w:rFonts w:ascii="Univers 45 Light" w:hAnsi="Univers 45 Light"/>
          <w:sz w:val="22"/>
          <w:szCs w:val="22"/>
          <w:lang w:bidi="he-IL"/>
        </w:rPr>
      </w:r>
      <w:proofErr w:type="spellEnd"/>
      <w:r>
        <w:rPr>
          <w:rFonts w:ascii="Univers 45 Light" w:hAnsi="Univers 45 Light"/>
          <w:sz w:val="22"/>
          <w:szCs w:val="22"/>
          <w:lang w:bidi="he-IL"/>
        </w:rPr>
      </w:r>
      <w:proofErr w:type="gramEnd"/>
      <w:r>
        <w:rPr>
          <w:rFonts w:ascii="Univers 45 Light" w:hAnsi="Univers 45 Light"/>
          <w:sz w:val="22"/>
          <w:szCs w:val="22"/>
          <w:lang w:bidi="he-IL"/>
        </w:rPr>
      </w:r>
    </w:p>
    <w:p w14:paraId="13C9EFEC" w14:textId="77777777" w:rsidR="00ED179A" w:rsidRDefault="00ED179A" w:rsidP="00ED179A">
      <w:pPr>
        <w:widowControl w:val="0"/>
        <w:adjustRightInd w:val="0"/>
        <w:spacing w:before="200" w:after="200"/>
        <w:textAlignment w:val="baseline"/>
      </w:pPr>
      <w:r w:rsidRPr="00A253C3">
        <w:t>The following Standard Industrial Classification 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5045</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Computers And Computer Peripheral Equipment And Software-Wholesale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5046</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Commercial Equipment-Wholesale,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506</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Electrical Goods-Wholesale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5063</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Electrical Apparatus &amp; Equip,Wiring Supplies &amp; Constr Matl-Wholesale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5064</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Electrical Appliances, Television And Radio Sets-Wholesale</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5065</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Electronic Parts And Equipment-Wholesale,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color w:val="000000"/>
                <w:sz w:val="18"/>
                <w:szCs w:val="18"/>
                <w:highlight w:val="yellow"/>
              </w:rPr>
              <w:t>5099</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color w:val="000000"/>
                <w:sz w:val="18"/>
                <w:szCs w:val="18"/>
                <w:highlight w:val="yellow"/>
              </w:rPr>
              <w:t>Durable Goods-Wholesale, Nec</w:t>
            </w:r>
            <w:proofErr w:type="spellStart"/>
            <w:r>
              <w:rPr>
                <w:rFonts w:eastAsia="Times New Roman" w:cs="Arial"/>
                <w:color w:val="000000"/>
                <w:sz w:val="18"/>
                <w:szCs w:val="18"/>
              </w:rPr>
            </w:r>
            <w:proofErr w:type="gramEnd"/>
            <w:r>
              <w:rPr>
                <w:rFonts w:eastAsia="Times New Roman" w:cs="Arial"/>
                <w:color w:val="000000"/>
                <w:sz w:val="18"/>
                <w:szCs w:val="18"/>
              </w:rPr>
            </w:r>
            <w:proofErr w:type="spellEnd"/>
            <w:r>
              <w:rPr>
                <w:rFonts w:eastAsia="Times New Roman" w:cs="Arial"/>
                <w:color w:val="000000"/>
                <w:sz w:val="18"/>
                <w:szCs w:val="18"/>
              </w:rPr>
            </w:r>
          </w:p>
        </w:tc>
      </w:tr>
    </w:tbl>
    <w:bookmarkEnd w:id="2"/>
    <w:p w14:paraId="557BF35C" w14:textId="7DA190CA" w:rsidR="00ED179A" w:rsidRPr="00551DAE" w:rsidRDefault="00ED179A" w:rsidP="00ED179A">
      <w:pPr>
        <w:widowControl w:val="0"/>
        <w:adjustRightInd w:val="0"/>
        <w:spacing w:before="200" w:after="200"/>
        <w:textAlignment w:val="baseline"/>
      </w:pPr>
      <w:r w:rsidRPr="00551DAE">
        <w:rPr/>
        <w:t xml:space="preserve">The search produced an initial set of </w:t>
      </w:r>
      <w:proofErr w:type="gramStart"/>
      <w:r w:rsidR="00B62FDF"/>
      <w:proofErr w:type="spellStart"/>
      <w:r w:rsidR="00557C2F"/>
      <w:proofErr w:type="gramEnd"/>
      <w:r w:rsidR="00557C2F"/>
      <w:proofErr w:type="gramStart"/>
      <w:r w:rsidR="00557C2F"/>
      <w:proofErr w:type="spellEnd"/>
      <w:r w:rsidR="007461AA"/>
      <w:proofErr w:type="gramEnd"/>
      <w:r w:rsidR="007461AA"/>
      <w:r w:rsidRPr="00551DAE"/>
      <w:r>
        <w:rPr>
          <w:highlight w:val="yellow"/>
        </w:rPr>
        <w:t>45</w:t>
      </w:r>
      <w:r>
        <w:rPr/>
        <w:t xml:space="preserve"> potentially comparable independent firms.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3C9B855F" w14:textId="77777777" w:rsidR="00937D4B" w:rsidRDefault="00937D4B" w:rsidP="00ED179A">
      <w:pPr>
        <w:widowControl w:val="0"/>
        <w:adjustRightInd w:val="0"/>
        <w:spacing w:before="200" w:after="200"/>
        <w:textAlignment w:val="baseline"/>
        <w:rPr>
          <w:lang w:val="en-GB"/>
        </w:rPr>
      </w:pPr>
    </w:p>
    <w:p w14:paraId="1C67AF06" w14:textId="77777777" w:rsidR="00937D4B" w:rsidRDefault="00937D4B" w:rsidP="00ED179A">
      <w:pPr>
        <w:widowControl w:val="0"/>
        <w:adjustRightInd w:val="0"/>
        <w:spacing w:before="200" w:after="200"/>
        <w:textAlignment w:val="baseline"/>
        <w:rPr>
          <w:lang w:val="en-GB"/>
        </w:rPr>
      </w:pPr>
    </w:p>
    <w:p w14:paraId="60ACA094" w14:textId="77777777" w:rsidR="00937D4B" w:rsidRDefault="00937D4B" w:rsidP="00ED179A">
      <w:pPr>
        <w:widowControl w:val="0"/>
        <w:adjustRightInd w:val="0"/>
        <w:spacing w:before="200" w:after="200"/>
        <w:textAlignment w:val="baseline"/>
        <w:rPr>
          <w:lang w:val="en-GB"/>
        </w:rPr>
      </w:pP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1109993" w14:textId="07EDF977" w:rsidR="00ED179A" w:rsidRPr="0019768F" w:rsidRDefault="00ED179A" w:rsidP="00ED179A">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2756"/>
        <w:gridCol w:w="2295"/>
        <w:gridCol w:w="1652"/>
      </w:tblGrid>
      <w:tr w:rsidR="000C154C" w:rsidRPr="006A0317" w14:paraId="0D37568B" w14:textId="77777777" w:rsidTr="00EB78C5">
        <w:trPr>
          <w:trHeight w:val="403"/>
        </w:trPr>
        <w:tc>
          <w:tcPr>
            <w:tcW w:w="101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671"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1395"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917"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B78C5">
        <w:trPr>
          <w:trHeight w:val="506"/>
        </w:trPr>
        <w:tc>
          <w:tcPr>
            <w:tcW w:w="1017" w:type="pct"/>
            <w:vAlign w:val="center"/>
          </w:tcPr>
          <w:p w14:paraId="1EFFC3E0" w14:textId="13DA0AA1" w:rsidR="00A552A1" w:rsidRPr="006A0317" w:rsidRDefault="00A552A1"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sidRPr="00A552A1">
              <w:rPr>
                <w:rFonts w:eastAsia="Arial" w:cs="Times New Roman"/>
                <w:b/>
                <w:bCs/>
                <w:sz w:val="14"/>
                <w:szCs w:val="14"/>
              </w:rPr>
              <w:t>Data Sufficiency</w:t>
            </w:r>
          </w:p>
        </w:tc>
        <w:tc>
          <w:tcPr>
            <w:tcW w:w="1671"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1395"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21</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917"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24</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B78C5">
        <w:trPr>
          <w:trHeight w:val="402"/>
        </w:trPr>
        <w:tc>
          <w:tcPr>
            <w:tcW w:w="1017" w:type="pct"/>
            <w:vAlign w:val="center"/>
          </w:tcPr>
          <w:p w14:paraId="53BFA93C" w14:textId="0F01F94F" w:rsidR="00557C2F" w:rsidRPr="006A0317" w:rsidRDefault="00A552A1"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rFonts w:eastAsia="Arial" w:cs="Times New Roman"/>
                <w:b/>
                <w:bCs/>
                <w:sz w:val="14"/>
                <w:szCs w:val="14"/>
              </w:rPr>
              <w:lastRenderedPageBreak/>
              <w:t>Losses Screen</w:t>
            </w:r>
          </w:p>
        </w:tc>
        <w:tc>
          <w:tcPr>
            <w:tcW w:w="1671" w:type="pct"/>
            <w:vAlign w:val="center"/>
          </w:tcPr>
          <w:p w14:paraId="7ACC57FB"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The search eliminated companies generating operating losses on a weighted average basis during the tested period were rejected.</w:t>
            </w:r>
          </w:p>
        </w:tc>
        <w:tc>
          <w:tcPr>
            <w:tcW w:w="1395" w:type="pct"/>
            <w:vAlign w:val="center"/>
          </w:tcPr>
          <w:p w14:paraId="2FF67A06" w14:textId="2AF1E7DF"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2</w:t>
            </w:r>
            <w:proofErr w:type="spellStart"/>
            <w:r w:rsidR="00C6115C">
              <w:rPr>
                <w:rFonts w:eastAsia="Arial" w:cs="Times New Roman"/>
                <w:sz w:val="14"/>
                <w:szCs w:val="14"/>
              </w:rPr>
            </w:r>
            <w:proofErr w:type="gramEnd"/>
            <w:r w:rsidR="00C6115C" w:rsidRPr="00C6115C">
              <w:rPr>
                <w:rFonts w:eastAsia="Arial" w:cs="Times New Roman"/>
                <w:sz w:val="14"/>
                <w:szCs w:val="14"/>
              </w:rPr>
            </w:r>
            <w:proofErr w:type="spellEnd"/>
            <w:r w:rsidR="007461AA">
              <w:rPr>
                <w:rFonts w:eastAsia="Arial" w:cs="Times New Roman"/>
                <w:sz w:val="14"/>
                <w:szCs w:val="14"/>
              </w:rPr>
            </w:r>
          </w:p>
        </w:tc>
        <w:tc>
          <w:tcPr>
            <w:tcW w:w="917"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22</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40846E3F" w14:textId="77777777" w:rsidTr="00EB78C5">
        <w:trPr>
          <w:trHeight w:val="402"/>
        </w:trPr>
        <w:tc>
          <w:tcPr>
            <w:tcW w:w="1017" w:type="pct"/>
            <w:vAlign w:val="center"/>
          </w:tcPr>
          <w:p w14:paraId="1E71BAA0" w14:textId="26A4D9A0"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Intangible Asset Screen</w:t>
            </w:r>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p>
        </w:tc>
        <w:tc>
          <w:tcPr>
            <w:tcW w:w="1671" w:type="pct"/>
            <w:vAlign w:val="center"/>
          </w:tcPr>
          <w:p w14:paraId="0C113D22" w14:textId="60025EED"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30</w:t>
            </w:r>
            <w:r>
              <w:rPr>
                <w:sz w:val="14"/>
              </w:rPr>
              <w:t xml:space="preserve"> were rejected.</w:t>
            </w:r>
          </w:p>
        </w:tc>
        <w:tc>
          <w:tcPr>
            <w:tcW w:w="1395"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3</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19</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59F4AAC" w14:textId="77777777" w:rsidTr="00EB78C5">
        <w:trPr>
          <w:trHeight w:val="402"/>
        </w:trPr>
        <w:tc>
          <w:tcPr>
            <w:tcW w:w="1017" w:type="pct"/>
            <w:vAlign w:val="center"/>
          </w:tcPr>
          <w:p w14:paraId="7AECD589" w14:textId="5A27A74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Inventories Screen</w:t>
            </w:r>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p>
        </w:tc>
        <w:tc>
          <w:tcPr>
            <w:tcW w:w="1671" w:type="pct"/>
            <w:vAlign w:val="center"/>
          </w:tcPr>
          <w:p w14:paraId="6AC8EAEB" w14:textId="2881B40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20</w:t>
            </w:r>
            <w:r>
              <w:rPr>
                <w:sz w:val="14"/>
              </w:rPr>
              <w:t xml:space="preserve"> were rejected.</w:t>
            </w:r>
          </w:p>
        </w:tc>
        <w:tc>
          <w:tcPr>
            <w:tcW w:w="1395"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2</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17</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r w:rsidR="000C154C" w:rsidRPr="006A0317" w14:paraId="398B6472" w14:textId="77777777" w:rsidTr="00EB78C5">
        <w:trPr>
          <w:trHeight w:val="402"/>
        </w:trPr>
        <w:tc>
          <w:tcPr>
            <w:tcW w:w="1017" w:type="pct"/>
            <w:vAlign w:val="center"/>
          </w:tcPr>
          <w:p w14:paraId="6876F066" w14:textId="1C74304F"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b/>
                <w:bCs/>
                <w:sz w:val="14"/>
                <w:szCs w:val="14"/>
                <w:highlight w:val="yellow"/>
              </w:rPr>
              <w:t>R&amp;D Expense Screen</w:t>
            </w:r>
            <w:commentRangeStart w:id="4"/>
            <w:r w:rsidR="00A552A1">
              <w:rPr>
                <w:rFonts w:eastAsia="Arial" w:cs="Times New Roman"/>
                <w:b/>
                <w:bCs/>
                <w:sz w:val="14"/>
                <w:szCs w:val="14"/>
              </w:rPr>
            </w:r>
            <w:proofErr w:type="gramEnd"/>
            <w:r w:rsidR="00A552A1">
              <w:rPr>
                <w:rFonts w:eastAsia="Arial" w:cs="Times New Roman"/>
                <w:b/>
                <w:bCs/>
                <w:sz w:val="14"/>
                <w:szCs w:val="14"/>
              </w:rPr>
            </w:r>
            <w:r w:rsidR="007461AA">
              <w:rPr>
                <w:rFonts w:eastAsia="Arial" w:cs="Times New Roman"/>
                <w:b/>
                <w:bCs/>
                <w:sz w:val="14"/>
                <w:szCs w:val="14"/>
              </w:rPr>
            </w:r>
            <w:commentRangeEnd w:id="4"/>
            <w:r w:rsidR="00EB78C5" w:rsidRPr="006A0317">
              <w:rPr>
                <w:rStyle w:val="CommentReference"/>
                <w:rFonts w:eastAsia="Arial" w:cs="Times New Roman"/>
                <w:b/>
                <w:bCs/>
                <w:sz w:val="14"/>
                <w:szCs w:val="14"/>
              </w:rPr>
            </w:r>
          </w:p>
        </w:tc>
        <w:tc>
          <w:tcPr>
            <w:tcW w:w="1671" w:type="pct"/>
            <w:vAlign w:val="center"/>
          </w:tcPr>
          <w:p w14:paraId="35F16075" w14:textId="12E4BB14"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proofErr w:type="gramStart"/>
            <w:r w:rsidR="00B62FDF">
              <w:rPr>
                <w:rFonts w:eastAsia="Arial" w:cs="Times New Roman"/>
                <w:sz w:val="14"/>
                <w:szCs w:val="14"/>
              </w:rPr>
            </w:r>
            <w:r w:rsidR="00A552A1" w:rsidRPr="00A552A1">
              <w:rPr>
                <w:rFonts w:eastAsia="Arial" w:cs="Times New Roman"/>
                <w:sz w:val="14"/>
                <w:szCs w:val="14"/>
              </w:rPr>
            </w:r>
            <w:proofErr w:type="gramEnd"/>
            <w:r w:rsidR="00A552A1" w:rsidRPr="00A552A1">
              <w:rPr>
                <w:rFonts w:eastAsia="Arial" w:cs="Times New Roman"/>
                <w:sz w:val="14"/>
                <w:szCs w:val="14"/>
              </w:rPr>
            </w:r>
            <w:r w:rsidR="00A552A1">
              <w:rPr>
                <w:rFonts w:eastAsia="Arial" w:cs="Times New Roman"/>
                <w:sz w:val="14"/>
                <w:szCs w:val="14"/>
              </w:rPr>
            </w:r>
            <w:r w:rsidR="00F56747" w:rsidRPr="006A0317">
              <w:rPr>
                <w:rFonts w:eastAsia="Arial" w:cs="Times New Roman"/>
                <w:sz w:val="14"/>
                <w:szCs w:val="14"/>
              </w:rPr>
            </w:r>
            <w:proofErr w:type="gramStart"/>
            <w:r w:rsidR="00F56747" w:rsidRPr="006A0317">
              <w:rPr>
                <w:rFonts w:eastAsia="Arial" w:cs="Times New Roman"/>
                <w:sz w:val="14"/>
                <w:szCs w:val="14"/>
              </w:rPr>
            </w:r>
            <w:r w:rsidR="007461AA">
              <w:rPr>
                <w:rFonts w:eastAsia="Arial" w:cs="Times New Roman"/>
                <w:sz w:val="14"/>
                <w:szCs w:val="14"/>
              </w:rPr>
            </w:r>
            <w:proofErr w:type="gramEnd"/>
            <w:r w:rsidR="007461AA">
              <w:rPr>
                <w:rFonts w:eastAsia="Arial" w:cs="Times New Roman"/>
                <w:sz w:val="14"/>
                <w:szCs w:val="14"/>
              </w:rPr>
            </w:r>
            <w:r w:rsidRPr="006A0317">
              <w:rPr>
                <w:rFonts w:eastAsia="Arial" w:cs="Times New Roman"/>
                <w:sz w:val="14"/>
                <w:szCs w:val="14"/>
              </w:rPr>
            </w:r>
            <w:r>
              <w:rPr>
                <w:sz w:val="14"/>
                <w:highlight w:val="yellow"/>
              </w:rPr>
              <w:t>3</w:t>
            </w:r>
            <w:r>
              <w:rPr>
                <w:sz w:val="14"/>
              </w:rPr>
              <w:t xml:space="preserve"> were rejected.</w:t>
            </w:r>
          </w:p>
        </w:tc>
        <w:tc>
          <w:tcPr>
            <w:tcW w:w="1395"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sz w:val="14"/>
                <w:szCs w:val="14"/>
                <w:highlight w:val="yellow"/>
              </w:rPr>
              <w:t>1</w:t>
            </w:r>
            <w:r w:rsidR="00C6115C" w:rsidRPr="00C6115C">
              <w:rPr>
                <w:rFonts w:eastAsia="Arial" w:cs="Times New Roman"/>
                <w:sz w:val="14"/>
                <w:szCs w:val="14"/>
              </w:rPr>
            </w:r>
            <w:proofErr w:type="gramEnd"/>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917"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sz w:val="14"/>
                <w:szCs w:val="14"/>
                <w:highlight w:val="yellow"/>
              </w:rPr>
              <w:t>16</w:t>
            </w:r>
            <w:r w:rsidR="006A0317" w:rsidRPr="006A0317">
              <w:rPr>
                <w:rFonts w:eastAsia="Arial" w:cs="Times New Roman"/>
                <w:sz w:val="14"/>
                <w:szCs w:val="14"/>
              </w:rPr>
            </w:r>
            <w:proofErr w:type="gramEnd"/>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60B48FF3"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annual reports, and Forms 10-K of the potential comparables. In this stage, </w:t>
      </w:r>
      <w:proofErr w:type="gramStart"/>
      <w:r w:rsidR="00B62FDF">
        <w:rPr>
          <w:lang w:val="en-GB"/>
        </w:rPr>
      </w:r>
      <w:proofErr w:type="spellStart"/>
      <w:r w:rsidR="00CF2E00">
        <w:rPr>
          <w:lang w:val="en-GB"/>
        </w:rPr>
      </w:r>
      <w:r w:rsidR="00CF2E00" w:rsidRPr="00CF2E00">
        <w:rPr>
          <w:lang w:val="en-GB"/>
        </w:rPr>
      </w:r>
      <w:proofErr w:type="gramEnd"/>
      <w:r w:rsidR="00CF2E00">
        <w:rPr>
          <w:lang w:val="en-GB"/>
        </w:rPr>
      </w:r>
      <w:r w:rsidR="00CF2E00" w:rsidRPr="00CF2E00">
        <w:rPr>
          <w:lang w:val="en-GB"/>
        </w:rPr>
      </w:r>
      <w:r w:rsidR="00CF2E00">
        <w:rPr>
          <w:lang w:val="en-GB"/>
        </w:rPr>
      </w:r>
      <w:proofErr w:type="gramStart"/>
      <w:r w:rsidR="00CF2E00">
        <w:rPr>
          <w:lang w:val="en-GB"/>
        </w:rPr>
      </w:r>
      <w:proofErr w:type="spellEnd"/>
      <w:r w:rsidR="007461AA">
        <w:rPr>
          <w:lang w:val="en-GB"/>
        </w:rPr>
      </w:r>
      <w:proofErr w:type="gramEnd"/>
      <w:r w:rsidR="007461AA">
        <w:rPr>
          <w:lang w:val="en-GB"/>
        </w:rPr>
      </w:r>
      <w:r w:rsidRPr="00DB6172">
        <w:rPr>
          <w:lang w:val="en-GB"/>
        </w:rPr>
      </w:r>
      <w:r w:rsidRPr="00D75AC6">
        <w:rPr>
          <w:lang w:val="en-GB"/>
        </w:rPr>
      </w:r>
      <w:r>
        <w:rPr>
          <w:highlight w:val="yellow"/>
        </w:rPr>
        <w:t>8</w:t>
      </w:r>
      <w:r>
        <w:rPr/>
        <w:t xml:space="preserve"> additional companies were rejected for reasons including:</w:t>
      </w:r>
    </w:p>
    <w:p w14:paraId="2DA7439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 (e.g., manufacturing, development)</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r>
      <w:proofErr w:type="spellStart"/>
      <w:r w:rsidR="00CF2E00">
        <w:rPr>
          <w:lang w:val="en-GB"/>
        </w:rPr>
      </w:r>
      <w:proofErr w:type="gramEnd"/>
      <w:r w:rsidR="00CF2E00">
        <w:rPr>
          <w:lang w:val="en-GB"/>
        </w:rPr>
      </w:r>
      <w:proofErr w:type="gramStart"/>
      <w:r w:rsidR="00CF2E00">
        <w:rPr>
          <w:lang w:val="en-GB"/>
        </w:rPr>
      </w:r>
      <w:proofErr w:type="spellEnd"/>
      <w:r w:rsidR="007461AA">
        <w:rPr>
          <w:lang w:val="en-GB"/>
        </w:rPr>
      </w:r>
      <w:proofErr w:type="gramEnd"/>
      <w:r w:rsidR="007461AA">
        <w:rPr>
          <w:lang w:val="en-GB"/>
        </w:rPr>
      </w:r>
      <w:r w:rsidRPr="008505A9">
        <w:rPr>
          <w:lang w:val="en-GB"/>
        </w:rPr>
      </w:r>
      <w:r>
        <w:rPr>
          <w:highlight w:val="yellow"/>
        </w:rPr>
        <w:t>8</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5"/>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5"/>
      <w:r w:rsidR="008E5D0E" w:rsidRPr="00B31664">
        <w:rPr>
          <w:rStyle w:val="CommentReference"/>
          <w:rFonts w:cstheme="majorBidi"/>
          <w:color w:val="000000" w:themeColor="text1"/>
          <w:sz w:val="20"/>
          <w:szCs w:val="20"/>
        </w:rPr>
        <w:commentReference w:id="5"/>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proofErr w:type="gramStart"/>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5BAEEEE7"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2022</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30DE4FFA"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2023</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21781D01"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b/>
                <w:bCs/>
                <w:color w:val="FFFFFF"/>
                <w:sz w:val="18"/>
                <w:szCs w:val="18"/>
                <w:highlight w:val="yellow"/>
              </w:rPr>
              <w:t>2024</w:t>
            </w:r>
            <w:proofErr w:type="spellStart"/>
            <w:r w:rsidR="00CF2E00">
              <w:rPr>
                <w:rFonts w:eastAsia="Times New Roman" w:cs="Times New Roman"/>
                <w:b/>
                <w:bCs/>
                <w:color w:val="FFFFFF"/>
                <w:sz w:val="18"/>
                <w:szCs w:val="18"/>
              </w:rPr>
            </w:r>
            <w:proofErr w:type="gramEnd"/>
            <w:r w:rsidR="00CF2E00">
              <w:rPr>
                <w:rFonts w:eastAsia="Times New Roman" w:cs="Times New Roman"/>
                <w:b/>
                <w:bCs/>
                <w:color w:val="FFFFFF"/>
                <w:sz w:val="18"/>
                <w:szCs w:val="18"/>
              </w:rPr>
            </w:r>
            <w:proofErr w:type="gramStart"/>
            <w:r w:rsidR="00CF2E00">
              <w:rPr>
                <w:rFonts w:eastAsia="Times New Roman" w:cs="Times New Roman"/>
                <w:b/>
                <w:bCs/>
                <w:color w:val="FFFFFF"/>
                <w:sz w:val="18"/>
                <w:szCs w:val="18"/>
              </w:rPr>
            </w:r>
            <w:proofErr w:type="spellEnd"/>
            <w:r w:rsidR="007461AA">
              <w:rPr>
                <w:rFonts w:eastAsia="Times New Roman" w:cs="Times New Roman"/>
                <w:b/>
                <w:bCs/>
                <w:color w:val="FFFFFF"/>
                <w:sz w:val="18"/>
                <w:szCs w:val="18"/>
              </w:rPr>
            </w:r>
            <w:r w:rsidR="00450475">
              <w:rPr>
                <w:rFonts w:eastAsia="Times New Roman" w:cs="Times New Roman"/>
                <w:b/>
                <w:bCs/>
                <w:color w:val="FFFFFF"/>
                <w:sz w:val="18"/>
                <w:szCs w:val="18"/>
              </w:rPr>
            </w:r>
            <w:proofErr w:type="gramEnd"/>
            <w:r w:rsidR="00450475">
              <w:rPr>
                <w:rFonts w:eastAsia="Times New Roman" w:cs="Times New Roman"/>
                <w:b/>
                <w:bCs/>
                <w:color w:val="FFFFFF"/>
                <w:sz w:val="18"/>
                <w:szCs w:val="18"/>
              </w:rPr>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1</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ARROW ELECTRONICS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5.6%</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4.6%</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2</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AVNET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3.8%</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4.1%</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3</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CLIMB GLOBAL SOLUTIONS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5.4%</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6.0%</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4</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INGRAM MICRO HOLDING CORP</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2.1%</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2.3%</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2.1%</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2.2%</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5</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INSIGHT ENTERPRISES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4.8%</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4.7%</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4.5%</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6</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PC CONNECTION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3.9%</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3.5%</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3.7%</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7</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SCANSOURCE INC</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3.5%</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3.6%</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3.0%</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3.4%</w:t>
            </w:r>
            <w:proofErr w:type="spellStart"/>
            <w:r>
              <w:rPr>
                <w:rFonts w:cs="Calibri"/>
                <w:color w:val="000000"/>
                <w:sz w:val="18"/>
                <w:szCs w:val="18"/>
              </w:rPr>
            </w:r>
            <w:proofErr w:type="spellEnd"/>
            <w:proofErr w:type="gramEnd"/>
            <w:r>
              <w:rPr>
                <w:rFonts w:cs="Calibri"/>
                <w:color w:val="000000"/>
                <w:sz w:val="18"/>
                <w:szCs w:val="18"/>
              </w:rPr>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color w:val="000000"/>
                <w:sz w:val="18"/>
                <w:szCs w:val="18"/>
                <w:highlight w:val="yellow"/>
              </w:rPr>
              <w:t>8</w:t>
            </w:r>
            <w:proofErr w:type="spellStart"/>
            <w:r>
              <w:rPr>
                <w:rFonts w:eastAsia="Times New Roman" w:cs="Times New Roman"/>
                <w:color w:val="000000"/>
                <w:sz w:val="18"/>
                <w:szCs w:val="18"/>
              </w:rPr>
            </w:r>
            <w:proofErr w:type="gramEnd"/>
            <w:r>
              <w:rPr>
                <w:rFonts w:eastAsia="Times New Roman" w:cs="Times New Roman"/>
                <w:color w:val="000000"/>
                <w:sz w:val="18"/>
                <w:szCs w:val="18"/>
              </w:rPr>
            </w:r>
            <w:proofErr w:type="spellEnd"/>
            <w:r>
              <w:rPr>
                <w:rFonts w:eastAsia="Times New Roman" w:cs="Times New Roman"/>
                <w:color w:val="000000"/>
                <w:sz w:val="18"/>
                <w:szCs w:val="18"/>
              </w:rPr>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color w:val="000000"/>
                <w:sz w:val="18"/>
                <w:szCs w:val="18"/>
                <w:highlight w:val="yellow"/>
              </w:rPr>
              <w:t>TD SYNNEX CORP</w:t>
            </w:r>
            <w:proofErr w:type="spellStart"/>
            <w:r>
              <w:rPr>
                <w:lang w:val="en-CA" w:bidi="ar-SA"/>
              </w:rPr>
            </w:r>
            <w:proofErr w:type="gramEnd"/>
            <w:r>
              <w:rPr>
                <w:lang w:val="en-CA" w:bidi="ar-SA"/>
              </w:rPr>
            </w:r>
            <w:proofErr w:type="spellEnd"/>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color w:val="000000"/>
                <w:sz w:val="18"/>
                <w:szCs w:val="18"/>
                <w:highlight w:val="yellow"/>
              </w:rPr>
              <w:t>United States</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2.0%</w:t>
            </w:r>
            <w:proofErr w:type="spellStart"/>
            <w:r>
              <w:rPr>
                <w:lang w:val="en-CA" w:bidi="ar-SA"/>
              </w:rPr>
            </w:r>
            <w:proofErr w:type="gramEnd"/>
            <w:r>
              <w:rPr>
                <w:lang w:val="en-CA" w:bidi="ar-SA"/>
              </w:rPr>
            </w:r>
            <w:proofErr w:type="spellEnd"/>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2.2%</w:t>
            </w:r>
            <w:proofErr w:type="spellStart"/>
            <w:r>
              <w:rPr>
                <w:lang w:val="en-CA" w:bidi="ar-SA"/>
              </w:rPr>
            </w:r>
            <w:proofErr w:type="gramEnd"/>
            <w:r>
              <w:rPr>
                <w:lang w:val="en-CA" w:bidi="ar-SA"/>
              </w:rPr>
            </w:r>
            <w:proofErr w:type="spellEnd"/>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2.2%</w:t>
            </w:r>
            <w:proofErr w:type="spellStart"/>
            <w:r>
              <w:rPr>
                <w:lang w:val="en-CA" w:bidi="ar-SA"/>
              </w:rPr>
            </w:r>
            <w:proofErr w:type="gramEnd"/>
            <w:r>
              <w:rPr>
                <w:lang w:val="en-CA" w:bidi="ar-SA"/>
              </w:rPr>
            </w:r>
            <w:proofErr w:type="spellEnd"/>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color w:val="000000"/>
                <w:sz w:val="18"/>
                <w:szCs w:val="18"/>
                <w:highlight w:val="yellow"/>
              </w:rPr>
              <w:t>2.1%</w:t>
            </w:r>
            <w:proofErr w:type="spellStart"/>
            <w:r>
              <w:rPr>
                <w:rFonts w:cs="Calibri"/>
                <w:color w:val="000000"/>
                <w:sz w:val="18"/>
                <w:szCs w:val="18"/>
              </w:rPr>
            </w:r>
            <w:proofErr w:type="spellEnd"/>
            <w:proofErr w:type="gramEnd"/>
            <w:r>
              <w:rPr>
                <w:rFonts w:cs="Calibri"/>
                <w:color w:val="000000"/>
                <w:sz w:val="18"/>
                <w:szCs w:val="18"/>
              </w:rPr>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2.1%</w:t>
            </w:r>
            <w:proofErr w:type="spellStart"/>
            <w:r w:rsidR="00BF39DA">
              <w:rPr>
                <w:rFonts w:eastAsia="Times New Roman" w:cs="Arial"/>
                <w:color w:val="000000" w:themeColor="text1"/>
                <w:sz w:val="18"/>
                <w:szCs w:val="18"/>
              </w:rPr>
            </w:r>
            <w:proofErr w:type="gramEnd"/>
            <w:r w:rsidR="00BF39DA">
              <w:rPr>
                <w:rFonts w:eastAsia="Times New Roman" w:cs="Arial"/>
                <w:color w:val="000000" w:themeColor="text1"/>
                <w:sz w:val="18"/>
                <w:szCs w:val="18"/>
              </w:rPr>
            </w:r>
            <w:r w:rsidR="00C101FE">
              <w:rPr>
                <w:rFonts w:eastAsia="Times New Roman" w:cs="Arial"/>
                <w:color w:val="000000" w:themeColor="text1"/>
                <w:sz w:val="18"/>
                <w:szCs w:val="18"/>
              </w:rPr>
            </w:r>
            <w:proofErr w:type="spellEnd"/>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2.8%</w:t>
            </w:r>
            <w:proofErr w:type="spellStart"/>
            <w:r>
              <w:rPr>
                <w:rFonts w:eastAsia="Times New Roman" w:cs="Arial"/>
                <w:b/>
                <w:bCs/>
                <w:color w:val="000000"/>
                <w:sz w:val="18"/>
                <w:szCs w:val="18"/>
              </w:rPr>
            </w:r>
            <w:proofErr w:type="gramEnd"/>
            <w:r>
              <w:rPr>
                <w:rFonts w:eastAsia="Times New Roman" w:cs="Arial"/>
                <w:b/>
                <w:bCs/>
                <w:color w:val="000000"/>
                <w:sz w:val="18"/>
                <w:szCs w:val="18"/>
              </w:rPr>
            </w:r>
            <w:proofErr w:type="spellEnd"/>
            <w:r>
              <w:rPr>
                <w:rFonts w:eastAsia="Times New Roman" w:cs="Arial"/>
                <w:b/>
                <w:bCs/>
                <w:color w:val="000000"/>
                <w:sz w:val="18"/>
                <w:szCs w:val="18"/>
              </w:rPr>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3.9%</w:t>
            </w:r>
            <w:proofErr w:type="gramEnd"/>
            <w:r>
              <w:rPr>
                <w:rFonts w:eastAsia="Times New Roman" w:cs="Arial"/>
                <w:b/>
                <w:bCs/>
                <w:color w:val="000000"/>
                <w:sz w:val="18"/>
                <w:szCs w:val="18"/>
              </w:rPr>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b/>
                <w:bCs/>
                <w:color w:val="000000"/>
                <w:sz w:val="18"/>
                <w:szCs w:val="18"/>
                <w:highlight w:val="yellow"/>
              </w:rPr>
              <w:t>4.6%</w:t>
            </w:r>
            <w:proofErr w:type="gramEnd"/>
            <w:r>
              <w:rPr>
                <w:rFonts w:eastAsia="Times New Roman" w:cs="Calibri"/>
                <w:b/>
                <w:bCs/>
                <w:color w:val="000000"/>
                <w:sz w:val="18"/>
                <w:szCs w:val="18"/>
              </w:rPr>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color w:val="000000"/>
                <w:sz w:val="18"/>
                <w:szCs w:val="18"/>
                <w:highlight w:val="yellow"/>
              </w:rPr>
              <w:t>6.0%</w:t>
            </w:r>
            <w:proofErr w:type="gramEnd"/>
            <w:r>
              <w:rPr>
                <w:rFonts w:eastAsia="Times New Roman" w:cs="Calibri"/>
                <w:color w:val="000000"/>
                <w:sz w:val="18"/>
                <w:szCs w:val="18"/>
              </w:rPr>
            </w:r>
          </w:p>
        </w:tc>
      </w:tr>
    </w:tbl>
    <w:p w14:paraId="1DC42808" w14:textId="550D2DEF" w:rsidR="00ED179A" w:rsidRPr="0019768F" w:rsidRDefault="00ED179A" w:rsidP="00ED179A">
      <w:pPr>
        <w:pStyle w:val="Caption"/>
        <w:keepLines/>
        <w:spacing w:before="0" w:after="0" w:line="360" w:lineRule="auto"/>
        <w:rPr>
          <w:rFonts w:cstheme="majorBidi"/>
          <w:color w:val="000000" w:themeColor="text1"/>
          <w:sz w:val="20"/>
        </w:rPr>
      </w:pPr>
    </w:p>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6"/>
      <w:r w:rsidRPr="00ED179A">
        <w:rPr>
          <w:rFonts w:ascii="Univers 45 Light" w:hAnsi="Univers 45 Light"/>
          <w:color w:val="00338D"/>
          <w:sz w:val="22"/>
          <w:szCs w:val="22"/>
        </w:rPr>
        <w:t>Business Descriptions of Comparable Companies</w:t>
      </w:r>
      <w:commentRangeEnd w:id="6"/>
      <w:r w:rsidR="008E5D0E">
        <w:rPr>
          <w:rStyle w:val="CommentReference"/>
          <w:rFonts w:ascii="Univers 45 Light" w:hAnsi="Univers 45 Light"/>
          <w:color w:val="00338D"/>
          <w:sz w:val="22"/>
          <w:szCs w:val="22"/>
        </w:rPr>
        <w:commentReference w:id="6"/>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22"/>
          <w:szCs w:val="18"/>
          <w:highlight w:val="yellow"/>
        </w:rPr>
        <w:t>ARROW ELECTRONICS INC</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p>
      <w:pPr/>
      <w:r>
        <w:rPr>
          <w:b w:val="0"/>
          <w:sz w:val="22"/>
          <w:highlight w:val="yellow"/>
        </w:rPr>
        <w:t>Arrow Electronics, Inc. sources and engineers technology for manufacturers, service providers, and users of enterprise computing solutions in the Americas, Europe, the Middle East, Africa, and the Asia Pacific. It operates in two segments, Global Components and Global Enterprise Computing Solutions. The Global Components segment markets and distributes electronic components, including semiconductor products and related services; interconnect, passive, and electromechanical products comprising capacitors, resistors, potentiometers, power supplies, relays, switches, and connectors; and computing and memory products, as well as other products and services. Its Global Enterprise Computing Solutions segment offers computing solutions, such as datacenter, cloud, security, and analytics solutions, as well as engineering and integration support, warehousing and logistics, marketing resources, and authorized hardware and software training services. The company serves original equipment manufacturers, value-added resellers, managed service providers, contract manufacturers, and other commercial customers. Arrow Electronics, Inc. was founded in 1935 and is based in Centennial, Colorado.</w:t>
      </w:r>
    </w:p>
    <w:p>
      <w:pPr/>
    </w:p>
    <w:p>
      <w:pPr/>
      <w:r>
        <w:rPr>
          <w:b/>
          <w:sz w:val="22"/>
          <w:highlight w:val="yellow"/>
        </w:rPr>
        <w:t>AVNET INC</w:t>
      </w:r>
    </w:p>
    <w:p>
      <w:pPr/>
      <w:r>
        <w:rPr>
          <w:b w:val="0"/>
          <w:sz w:val="22"/>
          <w:highlight w:val="yellow"/>
        </w:rPr>
        <w:t>Avnet, Inc., distributes electronic component technology in the Americas, Europe, the Middle East, Africa, and Asia/Pacific. It operates through two segments, Electronic Components and Farnell. The company markets, sells, and distributes semiconductors; interconnect, passive, and electromechanical components; and other integrated and embedded components from electronic component manufacturers. It also offers design support that provides engineers with technical design solutions; engineering and technical resources to support product design, bill of materials development, and technical education and training; and supply chain solutions which provides support, warehousing, and logistics services to original equipment manufacturers, electronic manufacturing service providers, and electronic component manufacturers. In addition, the company provides embedded solutions, such as technical design, integration, and assembly of embedded products, systems, and solutions, as well as embedded display solutions comprising touch and passive displays; and develops and produces standard board and industrial subsystems, and application-specific devices that enable it to produce systems tailored to specific customer requirements. It serves various markets, such as automotive, defense, aerospace, medical, telecommunications, industrial, and digital editing. Further, it distributes kits, tools, and electronic and industrial automation components, as well as test and measurement products to engineers and entrepreneurs. Avnet, Inc. was founded in 1921 and is headquartered in Phoenix, Arizona.</w:t>
      </w:r>
    </w:p>
    <w:p>
      <w:pPr/>
    </w:p>
    <w:p>
      <w:pPr/>
      <w:r>
        <w:rPr>
          <w:b/>
          <w:sz w:val="22"/>
          <w:highlight w:val="yellow"/>
        </w:rPr>
        <w:t>CLIMB GLOBAL SOLUTIONS INC</w:t>
      </w:r>
    </w:p>
    <w:p>
      <w:pPr/>
      <w:r>
        <w:rPr>
          <w:b w:val="0"/>
          <w:sz w:val="22"/>
          <w:highlight w:val="yellow"/>
        </w:rPr>
        <w:t>Climb Global Solutions, Inc. operates as a value-added information technology (IT) distribution and solutions company in the United States, Canada, Europe, and the United Kingdom. The company operates through two segments, Distribution and Solutions. It distributes technical software to corporate and value-added resellers, consultants, and systems integrators under the name Climb Channel Solutions; and provides cloud solutions and resells software, hardware, and services under the name Grey Matter. The company also resells computer software and hardware developed by others, as well as provides technical services to end user customers. In addition, it offers a line of products from various software vendors; and tools for virtualization/cloud computing, security, networking, storage and infrastructure management, application lifecycle management, and other technically sophisticated domains, as well as computer hardware. The company markets its products through its own web sites, local seminars, events, webinars, and social media, as well as direct email and printed materials. The company was formerly known as Wayside Technology Group, Inc. and changed its name to Climb Global Solutions, Inc. in October 2022. Climb Global Solutions, Inc. was incorporated in 1982 and is headquartered in Eatontown, New Jersey.</w:t>
      </w:r>
    </w:p>
    <w:p>
      <w:pPr/>
    </w:p>
    <w:p>
      <w:pPr/>
      <w:r>
        <w:rPr>
          <w:b/>
          <w:sz w:val="22"/>
          <w:highlight w:val="yellow"/>
        </w:rPr>
        <w:t>INGRAM MICRO HOLDING CORP</w:t>
      </w:r>
    </w:p>
    <w:p>
      <w:pPr/>
      <w:r>
        <w:rPr>
          <w:b w:val="0"/>
          <w:sz w:val="22"/>
          <w:highlight w:val="yellow"/>
        </w:rPr>
        <w:t>Ingram Micro Holding Corporation, through its subsidiaries, distributes information technology (IT) products, cloud, and other services in North America, Europe, the Middle East, Africa, the Asia-Pacific, and Latin America. The company offers client and endpoint solutions, including desktop personal computers, notebooks, tablets, printers, hard drives, motherboards, video cards, application software, peripherals, accessories, phones, tablets, smart and feature phones, mobile phone accessories, wearables, and mobility software for corporate and individual end users. It also provides enterprise-grade hardware and software products, such as servers, storage, networking, and hybrid and software-defined solutions, as well as cybersecurity, power, and cooling solutions; training, professional services, and related financing solutions; and data capture/point-of-sale, physical security, audio visual and digital signage, unified communications and collaboration, and smart office/home automation and artificial intelligence products. In addition, the company offers third-party cloud-based services and subscriptions, including business applications, security, communications and collaboration, cloud enablement solutions, and infrastructure-as-a-service, as well as IT asset disposition, reverse logistics, repair, and other related solutions. It serves value-added and corporate resellers, retailers, custom installers, systems integrators, mobile network operators, mobile virtual network operators, direct marketers, internet-based resellers, independent dealers, product category specialists, reseller purchasing associations, managed service providers, cloud services providers, PC assemblers, independent agents and dealers, IT and mobile device manufacturers, and other distributors. The company was founded in 1979 and is headquartered in Irvine, California.</w:t>
      </w:r>
    </w:p>
    <w:p>
      <w:pPr/>
    </w:p>
    <w:p>
      <w:pPr/>
      <w:r>
        <w:rPr>
          <w:b/>
          <w:sz w:val="22"/>
          <w:highlight w:val="yellow"/>
        </w:rPr>
        <w:t>INSIGHT ENTERPRISES INC</w:t>
      </w:r>
    </w:p>
    <w:p>
      <w:pPr/>
      <w:r>
        <w:rPr>
          <w:b w:val="0"/>
          <w:sz w:val="22"/>
          <w:highlight w:val="yellow"/>
        </w:rPr>
        <w:t>Insight Enterprises, Inc., together with its subsidiaries, provides information technology, hardware, software, and services in the United States, rest of North America, Europe, Middle East, Africa, and the Asia-Pacific. It offers multicloud solutions that manages and supports cloud and data center platforms, modern networks, and edge technologies; cybersecurity solutions automates and securely connects modern platforms, including networks, security systems, and automation tools; data and artificial intelligence solutions; digital workplace and device solutions; and intelligent application solutions. The company provides software maintenance solutions that offers clients to obtain software upgrades, bug fixes, help desk, and other support services; vendor direct support services contracts; and cloud/software-as-a-service subscription products. In addition, it designs, procures, deploys, implements, and manages solutions that combine hardware, software, and services to help businesses. The company serves construction, esports, financial services, health care and life sciences, manufacturing, retail and restaurant, service providers, small to medium business, and travel and tourism industries. The company was founded in 1988 and is headquartered in Chandler, Arizona.</w:t>
      </w:r>
    </w:p>
    <w:p>
      <w:pPr/>
    </w:p>
    <w:p>
      <w:pPr/>
      <w:r>
        <w:rPr>
          <w:b/>
          <w:sz w:val="22"/>
          <w:highlight w:val="yellow"/>
        </w:rPr>
        <w:t>PC CONNECTION INC</w:t>
      </w:r>
    </w:p>
    <w:p>
      <w:pPr/>
      <w:r>
        <w:rPr>
          <w:b w:val="0"/>
          <w:sz w:val="22"/>
          <w:highlight w:val="yellow"/>
        </w:rPr>
        <w:t>PC Connection, Inc., together with its subsidiaries, provides various information technology (IT) solutions worldwide. It operates in three segments: Connection Enterprise Solutions, Connection Business Solutions, and Connection Public Sector Solutions. The company offers IT solutions, including computer systems, data center solutions, and artificial intelligence; a portfolio of managed services and professional services; services related to the design, configuration, and implementation of IT solutions; and cybersecurity, digital workspace, modern infrastructure, multicloud, and supply chain and lifecycle solutions and services. It also distributes accessories, cable and adapters, computer parts, computers, conferencing and AV products, electronics, media and supplies, monitors and projectors, networking products, office equipment, power products, printers and supplies, servers and accessories, software, and storage products; hardware, including devices and peripherals; notebooks/mobility products, desktops, communication products, displays, and sound products; and cloud solutions. The company markets its products and services through its websites. It serves large enterprise customers; small to medium-sized businesses, including small office/home office customers; healthcare, manufacturing, and retail industries; federal, state, and local government; educational institutions, including K-12 and higher education; medium-to-large corporations through outbound inside and field sales, digital and web advertising, and targeted marketing programs to specific market segments. PC Connection, Inc. was founded in 1982 and is headquartered in Merrimack, New Hampshire.</w:t>
      </w:r>
    </w:p>
    <w:p>
      <w:pPr/>
    </w:p>
    <w:p>
      <w:pPr/>
      <w:r>
        <w:rPr>
          <w:b/>
          <w:sz w:val="22"/>
          <w:highlight w:val="yellow"/>
        </w:rPr>
        <w:t>SCANSOURCE INC</w:t>
      </w:r>
    </w:p>
    <w:p>
      <w:pPr/>
      <w:r>
        <w:rPr>
          <w:b w:val="0"/>
          <w:sz w:val="22"/>
          <w:highlight w:val="yellow"/>
        </w:rPr>
        <w:t>ScanSource, Inc. engages in the distribution of technology products and solutions in the United States and internationally. It operates through two segments: Specialty Technology Solutions, and Intelisys &amp; Advisory. The Specialty Technology Solutions segment offers mobility and barcode, including mobile computing; barcode scanners and imagers, radio frequency identification devices, barcode printing and related services; point of sale systems and integrated pos software platforms; payment terminals, such as self-service kiosks, payment terminals and mobile payment devices; physical security comprising video surveillance and analytics, and video management software and access control; networking, such as switching, and routing and wireless products and software; communications, including voice, video, communication platform integration, and contact center solutions; managed connectivity and wireless enablement solutions. This segment offers applications that have evolved from traditional uses, such as inventory control, materials handling, distribution, shipping and warehouse management, and healthcare applications. The Intelisys &amp; Advisory segment offers connectivity and software-defined networking, cx (unified communications as a service and contact center as a service), cloud/data center, and security, managed AI, and wireless and IOT. This segment helps channel sales partners service various end users, including businesses of all sizes from very small business to enterprise size businesses. It serves manufacturing, warehouse and distribution, retail and e-commerce, hospitality, transportation and logistics, government, education and healthcare, and other industries. ScanSource, Inc. was incorporated in 1992 and is headquartered in Greenville, South Carolina.</w:t>
      </w:r>
    </w:p>
    <w:p>
      <w:pPr/>
    </w:p>
    <w:p>
      <w:pPr/>
      <w:r>
        <w:rPr>
          <w:b/>
          <w:sz w:val="22"/>
          <w:highlight w:val="yellow"/>
        </w:rPr>
        <w:t>TD SYNNEX CORP</w:t>
      </w:r>
    </w:p>
    <w:p>
      <w:pPr/>
      <w:r>
        <w:rPr>
          <w:b w:val="0"/>
          <w:sz w:val="22"/>
          <w:highlight w:val="yellow"/>
        </w:rPr>
        <w:t>TD SYNNEX Corporation operates as a distributor and solutions aggregator for the information technology (IT) ecosystem in the United States, Europe, and internationally. It offers endpoint solutions, including personal computing devices and peripherals, mobile phones and accessories, printers, and supplies; and advanced solutions comprising data center technologies, such as hybrid cloud, security, storage, networking, servers, software, converged and hyper-converged infrastructure, and hyperscale infrastructure. The company also provides design, integration, test and other production value-added solutions, such as thermal testing, power-draw efficiency testing, burn-in, quality, and logistics support; logistics and field services; depot repair and customer management services; and cloud services, including public cloud solutions in productivity and collaboration, infrastructure as a service, platform as a service, software as a service, security, mobility, AI, and other hybrid solutions. In addition, it offers online services; financing options, including net terms, third party leasing, floor plan financing and letters-of-credit backed financing and arrangements, as well lease products to reseller customers and their end-users and provides device-as-a-service to end-users; and marketing services comprising direct mail, external media advertising, reseller product training, targeted telemarketing campaigns, national and regional trade shows, trade groups, database analysis, print on demand services, and web-based marketing. It serves value-added resellers, corporate resellers, government resellers, system integrators, direct marketers, retailers, and managed service providers. The company was formerly known as SYNNEX Corporation and changed its name to TD SYNNEX Corporation in September 2021. TD SYNNEX Corporation was founded in 1980 and is headquartered in Fremont, California.</w:t>
      </w:r>
    </w:p>
    <w:p w14:paraId="3D3BA347" w14:textId="237449AD" w:rsidR="00ED179A" w:rsidRDefault="00ED179A" w:rsidP="00F406F4">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Financial Information of Comparable Companies</w:t>
      </w:r>
      <w:commentRangeEnd w:id="7"/>
      <w:r w:rsidR="00425E9D">
        <w:rPr>
          <w:rStyle w:val="CommentReference"/>
          <w:rFonts w:ascii="Univers 45 Light" w:hAnsi="Univers 45 Light"/>
          <w:color w:val="00338D"/>
          <w:sz w:val="22"/>
          <w:szCs w:val="22"/>
        </w:rPr>
        <w:commentReference w:id="7"/>
      </w:r>
    </w:p>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ARROW ELECTRONICS INC (001773)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37,124.42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33,107.12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27,923.32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32,718.29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32,287.80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28,958.10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24,570.34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28,605.41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4,836.63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4,149.02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3,352.98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4,112.87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2,567.01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2,475.02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2,217.94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2,419.99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187.38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181.12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162.99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177.16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2,082.24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1,492.88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972.05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1,515.72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5.61%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4.51%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3.48%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4.63%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AVNET INC (001919)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24,310.71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26,536.88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23,757.13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24,868.24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21,242.99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23,272.18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20,907.11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21,807.43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3,067.72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3,264.70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2,850.02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3,060.81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1,994.85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1,961.25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1,866.40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1,940.83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102.33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88.61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86.71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92.55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970.54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1,214.84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896.92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1,027.43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3.99%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4.58%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CLIMB GLOBAL SOLUTIONS INC (061028)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304.35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352.01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465.61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373.99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250.25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287.77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374.53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304.18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54.09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64.25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91.08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69.81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34.14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42.53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56.51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44.40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2.05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4.27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17.90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18.91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30.30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22.37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5.88%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5.37%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6.51%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5.98%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INGRAM MICRO HOLDING CORP (050831)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50,824.49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48,040.36</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47,983.67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48,949.51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46,933.99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44,309.08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44,349.40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45,197.49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3,890.50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3,731.29</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3,634.28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3,752.02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2,603.44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2,456.73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2,415.90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2,492.03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197.11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184.15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189.33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190.20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1,089.95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1,090.41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1,029.04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1,069.80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2.27%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INSIGHT ENTERPRISES INC (031453)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10,431.19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9,175.84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8,701.70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9,436.24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8,738.01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7,443.84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6,837.55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7,673.13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1,693.18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1,732.00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1,864.15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1,763.11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1,216.66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1,231.24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1,353.10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1,267.00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56.61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62.48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98.14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72.41</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419.91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438.28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412.92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423.70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4.03%</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4.78%</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4.75%</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4.49%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PC CONNECTION INC (066586)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 Dec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3,125.00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2,850.64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2,802.12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2,925.92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2,598.82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2,338.91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2,282.32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2,406.68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526.18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511.74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519.79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519.24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393.65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393.24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409.33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398.74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11.98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12.65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12.98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12.54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120.55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105.84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97.48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107.96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3.86%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3.71%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3.48%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SCANSOURCE INC (029910)</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Jun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3,529.94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3,787.72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3,259.81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3,525.82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3,102.44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3,337.53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2,859.69</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3,099.89</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427.49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450.20</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400.12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425.94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275.41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284.24</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274.84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278.16</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29.88</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28.61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28.01</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28.84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122.20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137.35</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97.27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118.94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3.46%</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3.63%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2.98%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3.37%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tbl>
      <w:tblPr>
        <w:tblW w:w="9475" w:type="dxa"/>
        <w:tblLook w:val="04A0" w:firstRow="1" w:lastRow="0" w:firstColumn="1" w:lastColumn="0" w:noHBand="0" w:noVBand="1"/>
        <w:bidiVisual w:val="0"/>
      </w:tblPr>
      <w:tblGrid>
        <w:gridCol w:w="592"/>
        <w:gridCol w:w="1645"/>
        <w:gridCol w:w="1893"/>
        <w:gridCol w:w="1893"/>
        <w:gridCol w:w="2016"/>
        <w:gridCol w:w="971"/>
        <w:gridCol w:w="465"/>
      </w:tblGrid>
      <w:tr w:rsidR="00032DC4" w:rsidRPr="00AB0250" w14:paraId="062FB867" w14:textId="77777777" w:rsidTr="00032DC4">
        <w:trPr>
          <w:trHeight w:val="504"/>
          <w:cantSplit/>
        </w:trPr>
        <w:tc>
          <w:tcPr>
            <w:tcW w:w="592" w:type="dxa"/>
            <w:tcBorders>
              <w:top w:val="nil"/>
              <w:left w:val="nil"/>
              <w:bottom w:val="nil"/>
              <w:right w:val="nil"/>
            </w:tcBorders>
          </w:tcPr>
          <w:p w14:paraId="74FD31F8" w14:textId="77777777" w:rsidR="00032DC4" w:rsidRDefault="00032DC4" w:rsidP="00AB0250">
            <w:pPr>
              <w:spacing w:before="0" w:after="0" w:line="240" w:lineRule="auto"/>
              <w:jc w:val="left"/>
              <w:rPr>
                <w:rFonts w:eastAsia="Times New Roman" w:cs="Times New Roman"/>
                <w:b/>
                <w:bCs/>
                <w:color w:val="000000"/>
                <w:sz w:val="18"/>
                <w:szCs w:val="18"/>
              </w:rPr>
              <w:keepNext/>
            </w:pPr>
          </w:p>
        </w:tc>
        <w:tc>
          <w:tcPr>
            <w:tcW w:w="8883" w:type="dxa"/>
            <w:gridSpan w:val="6"/>
            <w:tcBorders>
              <w:top w:val="nil"/>
              <w:left w:val="nil"/>
              <w:bottom w:val="nil"/>
              <w:right w:val="nil"/>
            </w:tcBorders>
            <w:vAlign w:val="center"/>
            <w:hideMark/>
          </w:tcPr>
          <w:p w14:paraId="28EC240C" w14:textId="1BFA8641" w:rsidR="00032DC4" w:rsidRPr="00AB0250" w:rsidRDefault="00032DC4" w:rsidP="00AB0250">
            <w:pPr>
              <w:spacing w:before="0" w:after="0" w:line="240" w:lineRule="auto"/>
              <w:jc w:val="left"/>
              <w:rPr>
                <w:rFonts w:eastAsia="Times New Roman" w:cs="Times New Roman"/>
                <w:b/>
                <w:bCs/>
                <w:color w:val="000000"/>
                <w:sz w:val="18"/>
                <w:szCs w:val="18"/>
              </w:rPr>
              <w:keepNext/>
            </w:pPr>
            <w:proofErr w:type="gramStart"/>
            <w:r>
              <w:rPr>
                <w:b/>
                <w:bCs/>
                <w:color w:val="000000"/>
                <w:sz w:val="18"/>
                <w:szCs w:val="18"/>
                <w:highlight w:val="yellow"/>
              </w:rPr>
              <w:t>Company Name (Code) : TD SYNNEX CORP (156155)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r>
      <w:tr w:rsidR="00032DC4" w:rsidRPr="00AB0250" w14:paraId="6B116C04" w14:textId="77777777" w:rsidTr="00032DC4">
        <w:trPr>
          <w:trHeight w:val="21"/>
          <w:cantSplit/>
        </w:trPr>
        <w:tc>
          <w:tcPr>
            <w:tcW w:w="2571" w:type="dxa"/>
            <w:gridSpan w:val="2"/>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2022</w:t>
            </w:r>
            <w:proofErr w:type="gramEnd"/>
            <w:r>
              <w:rPr>
                <w:rFonts w:eastAsia="Times New Roman" w:cs="Times New Roman"/>
                <w:b/>
                <w:bCs/>
                <w:color w:val="FFFFFF"/>
                <w:sz w:val="18"/>
                <w:szCs w:val="18"/>
              </w:rPr>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2023</w:t>
            </w:r>
            <w:proofErr w:type="gramEnd"/>
            <w:r>
              <w:rPr>
                <w:rFonts w:eastAsia="Times New Roman" w:cs="Times New Roman"/>
                <w:b/>
                <w:bCs/>
                <w:color w:val="FFFFFF"/>
                <w:sz w:val="18"/>
                <w:szCs w:val="18"/>
              </w:rPr>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proofErr w:type="gramStart"/>
            <w:r>
              <w:rPr>
                <w:b/>
                <w:bCs/>
                <w:color w:val="FFFFFF"/>
                <w:sz w:val="18"/>
                <w:szCs w:val="18"/>
                <w:highlight w:val="yellow"/>
              </w:rPr>
              <w:t>2024</w:t>
            </w:r>
            <w:proofErr w:type="gramEnd"/>
            <w:r>
              <w:rPr>
                <w:rFonts w:eastAsia="Times New Roman" w:cs="Times New Roman"/>
                <w:b/>
                <w:bCs/>
                <w:color w:val="FFFFFF"/>
                <w:sz w:val="18"/>
                <w:szCs w:val="18"/>
              </w:rPr>
            </w:r>
          </w:p>
        </w:tc>
        <w:tc>
          <w:tcPr>
            <w:tcW w:w="550"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proofErr w:type="gramStart"/>
            <w:r>
              <w:rPr>
                <w:b/>
                <w:bCs/>
                <w:color w:val="FFFFFF"/>
                <w:sz w:val="18"/>
                <w:szCs w:val="18"/>
                <w:highlight w:val="yellow"/>
              </w:rPr>
            </w:r>
            <w:proofErr w:type="spellStart"/>
            <w:r>
              <w:rPr>
                <w:rFonts w:eastAsia="Times New Roman" w:cs="Times New Roman"/>
                <w:b/>
                <w:bCs/>
                <w:color w:val="FFFFFF"/>
                <w:sz w:val="18"/>
                <w:szCs w:val="18"/>
              </w:rPr>
            </w:r>
            <w:proofErr w:type="gramEnd"/>
            <w:r>
              <w:rPr>
                <w:rFonts w:eastAsia="Times New Roman" w:cs="Times New Roman"/>
                <w:b/>
                <w:bCs/>
                <w:color w:val="FFFFFF"/>
                <w:sz w:val="18"/>
                <w:szCs w:val="18"/>
              </w:rPr>
            </w:r>
            <w:proofErr w:type="spellEnd"/>
            <w:r>
              <w:rPr>
                <w:rFonts w:eastAsia="Times New Roman" w:cs="Times New Roman"/>
                <w:b/>
                <w:bCs/>
                <w:color w:val="FFFFFF"/>
                <w:sz w:val="18"/>
                <w:szCs w:val="18"/>
              </w:rPr>
            </w:r>
          </w:p>
        </w:tc>
        <w:tc>
          <w:tcPr>
            <w:tcW w:w="552"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Date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Nov 2022</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Nov 2023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30 Nov 2024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Currency Details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USD in M</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Income Statement</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Simple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Revenue - Total</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62,343.81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57,555.42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58,452.44</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59,450.55</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Cost of Goods Sold (FIFO)</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58,343.81</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53,491.41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54,361.40</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55,398.87</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Gross Profit (Loss)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4,000.00</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4,064.01</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4,091.03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4,051.68</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Selling, General and Administrative Expense</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2,327.85</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2,378.83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2,423.48</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2,376.72</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 xml:space="preserve"> - Depreciation and Amortization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398.97</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400.92</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402.03</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t>400.64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Operating Income After Depreciation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1,273.19</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1,284.27</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1,265.52</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1,274.33</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PLI Ratios</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val="0"/>
                <w:bCs/>
                <w:color w:val="000000"/>
                <w:sz w:val="18"/>
                <w:szCs w:val="18"/>
                <w:highlight w:val="yellow"/>
              </w:rPr>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proofErr w:type="gramStart"/>
            <w:r>
              <w:rPr>
                <w:rFonts w:eastAsia="Times New Roman" w:cs="Times New Roman"/>
                <w:b/>
                <w:bCs/>
                <w:color w:val="000000"/>
                <w:sz w:val="18"/>
                <w:szCs w:val="18"/>
                <w:highlight w:val="yellow"/>
              </w:rPr>
              <w:t>Weighted  Average</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p>
        </w:tc>
      </w:tr>
      <w:tr w:rsidR="00032DC4" w:rsidRPr="00AB0250" w14:paraId="136F1595" w14:textId="77777777" w:rsidTr="00032DC4">
        <w:trPr>
          <w:trHeight w:val="21"/>
          <w:cantSplit/>
        </w:trPr>
        <w:tc>
          <w:tcPr>
            <w:tcW w:w="2571" w:type="dxa"/>
            <w:gridSpan w:val="2"/>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 xml:space="preserve">    Operating Margin</w:t>
            </w:r>
            <w:proofErr w:type="spellStart"/>
            <w:r w:rsidRPr="000661C9">
              <w:rPr>
                <w:rFonts w:eastAsia="Times New Roman" w:cs="Times New Roman"/>
                <w:b/>
                <w:bCs/>
                <w:color w:val="000000"/>
                <w:sz w:val="18"/>
                <w:szCs w:val="18"/>
              </w:rPr>
            </w:r>
            <w:proofErr w:type="gramEnd"/>
            <w:r>
              <w:rPr>
                <w:rFonts w:eastAsia="Times New Roman" w:cs="Times New Roman"/>
                <w:b/>
                <w:bCs/>
                <w:color w:val="000000"/>
                <w:sz w:val="18"/>
                <w:szCs w:val="18"/>
              </w:rPr>
            </w:r>
            <w:proofErr w:type="gramStart"/>
            <w:r>
              <w:rPr>
                <w:rFonts w:eastAsia="Times New Roman" w:cs="Times New Roman"/>
                <w:b/>
                <w:bCs/>
                <w:color w:val="000000"/>
                <w:sz w:val="18"/>
                <w:szCs w:val="18"/>
              </w:rPr>
            </w:r>
            <w:proofErr w:type="spellEnd"/>
            <w:r>
              <w:rPr>
                <w:rFonts w:eastAsia="Times New Roman" w:cs="Times New Roman"/>
                <w:b/>
                <w:bCs/>
                <w:color w:val="000000"/>
                <w:sz w:val="18"/>
                <w:szCs w:val="18"/>
              </w:rPr>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2.04%</w:t>
            </w:r>
            <w:proofErr w:type="gramEnd"/>
            <w:r>
              <w:rPr>
                <w:rFonts w:eastAsia="Times New Roman" w:cs="Times New Roman"/>
                <w:b/>
                <w:bCs/>
                <w:color w:val="000000"/>
                <w:sz w:val="18"/>
                <w:szCs w:val="18"/>
              </w:rPr>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2.23%</w:t>
            </w:r>
            <w:proofErr w:type="gramEnd"/>
            <w:r>
              <w:rPr>
                <w:rFonts w:eastAsia="Times New Roman" w:cs="Times New Roman"/>
                <w:b/>
                <w:bCs/>
                <w:color w:val="000000"/>
                <w:sz w:val="18"/>
                <w:szCs w:val="18"/>
              </w:rPr>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2.17%</w:t>
            </w:r>
            <w:proofErr w:type="gramEnd"/>
            <w:r>
              <w:rPr>
                <w:rFonts w:eastAsia="Times New Roman" w:cs="Times New Roman"/>
                <w:b/>
                <w:bCs/>
                <w:color w:val="000000"/>
                <w:sz w:val="18"/>
                <w:szCs w:val="18"/>
              </w:rPr>
            </w:r>
          </w:p>
        </w:tc>
        <w:tc>
          <w:tcPr>
            <w:tcW w:w="550"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val="0"/>
                <w:bCs/>
                <w:color w:val="000000"/>
                <w:sz w:val="18"/>
                <w:szCs w:val="18"/>
                <w:highlight w:val="yellow"/>
              </w:rPr>
              <w:t>2.14%</w:t>
            </w:r>
            <w:proofErr w:type="spellStart"/>
            <w:r>
              <w:rPr>
                <w:rFonts w:eastAsia="Times New Roman" w:cs="Times New Roman"/>
                <w:b/>
                <w:bCs/>
                <w:color w:val="000000"/>
                <w:sz w:val="18"/>
                <w:szCs w:val="18"/>
              </w:rPr>
            </w:r>
            <w:proofErr w:type="gramEnd"/>
            <w:r>
              <w:rPr>
                <w:rFonts w:eastAsia="Times New Roman" w:cs="Times New Roman"/>
                <w:b/>
                <w:bCs/>
                <w:color w:val="000000"/>
                <w:sz w:val="18"/>
                <w:szCs w:val="18"/>
              </w:rPr>
            </w:r>
            <w:proofErr w:type="spellEnd"/>
            <w:r>
              <w:rPr>
                <w:rFonts w:eastAsia="Times New Roman" w:cs="Times New Roman"/>
                <w:b/>
                <w:bCs/>
                <w:color w:val="000000"/>
                <w:sz w:val="18"/>
                <w:szCs w:val="18"/>
              </w:rPr>
            </w:r>
          </w:p>
        </w:tc>
        <w:tc>
          <w:tcPr>
            <w:tcW w:w="552"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296" w:type="dxa"/>
        <w:tblLook w:val="04A0" w:firstRow="1" w:lastRow="0" w:firstColumn="1" w:lastColumn="0" w:noHBand="0" w:noVBand="1"/>
      </w:tblPr>
      <w:tblGrid>
        <w:gridCol w:w="312"/>
        <w:gridCol w:w="706"/>
        <w:gridCol w:w="867"/>
        <w:gridCol w:w="449"/>
        <w:gridCol w:w="575"/>
        <w:gridCol w:w="978"/>
        <w:gridCol w:w="978"/>
        <w:gridCol w:w="978"/>
        <w:gridCol w:w="978"/>
        <w:gridCol w:w="930"/>
        <w:gridCol w:w="545"/>
      </w:tblGrid>
      <w:tr w:rsidR="00611EE3" w:rsidRPr="004922C8" w14:paraId="30DC9523" w14:textId="77777777" w:rsidTr="001E7D68">
        <w:trPr>
          <w:trHeight w:val="288"/>
          <w:tblHeader/>
          <w:cantSplit/>
        </w:trPr>
        <w:tc>
          <w:tcPr>
            <w:tcW w:w="312"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706"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1262" w:type="dxa"/>
            <w:gridSpan w:val="2"/>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4922C8">
            <w:pPr>
              <w:spacing w:before="0" w:after="0" w:line="240" w:lineRule="auto"/>
              <w:jc w:val="center"/>
              <w:rPr>
                <w:rFonts w:eastAsia="Times New Roman" w:cs="Calibri"/>
                <w:b/>
                <w:bCs/>
                <w:color w:val="FFFFFF"/>
                <w:sz w:val="16"/>
                <w:szCs w:val="16"/>
              </w:rPr>
              <w:keepNext/>
            </w:pPr>
          </w:p>
        </w:tc>
        <w:tc>
          <w:tcPr>
            <w:tcW w:w="5471" w:type="dxa"/>
            <w:gridSpan w:val="5"/>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54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1E7D68">
        <w:trPr>
          <w:trHeight w:val="510"/>
          <w:tblHeader/>
          <w:cantSplit/>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left"/>
              <w:rPr>
                <w:rFonts w:eastAsia="Times New Roman" w:cs="Calibri"/>
                <w:b/>
                <w:bCs/>
                <w:color w:val="FFFFFF"/>
                <w:sz w:val="16"/>
                <w:szCs w:val="16"/>
              </w:rPr>
            </w:pPr>
          </w:p>
        </w:tc>
        <w:tc>
          <w:tcPr>
            <w:tcW w:w="5803" w:type="dxa"/>
            <w:gridSpan w:val="6"/>
            <w:tcBorders>
              <w:top w:val="single" w:sz="4" w:space="0" w:color="auto"/>
              <w:left w:val="nil"/>
              <w:bottom w:val="single" w:sz="4" w:space="0" w:color="auto"/>
              <w:right w:val="single" w:sz="4" w:space="0" w:color="auto"/>
            </w:tcBorders>
            <w:shd w:val="clear" w:color="000000" w:fill="00338D"/>
            <w:vAlign w:val="center"/>
            <w:hideMark/>
          </w:tcPr>
          <w:p w14:paraId="641B8BC8" w14:textId="2D3C50C6"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 Quantitative Screens                       </w:t>
            </w:r>
          </w:p>
        </w:tc>
        <w:tc>
          <w:tcPr>
            <w:tcW w:w="930"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545"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left"/>
              <w:rPr>
                <w:rFonts w:eastAsia="Times New Roman" w:cs="Calibri"/>
                <w:b/>
                <w:bCs/>
                <w:color w:val="FFFFFF"/>
                <w:sz w:val="16"/>
                <w:szCs w:val="16"/>
              </w:rPr>
            </w:pPr>
          </w:p>
        </w:tc>
      </w:tr>
      <w:tr w:rsidR="001E7D68" w:rsidRPr="004922C8" w14:paraId="03349E4D" w14:textId="77777777" w:rsidTr="001E7D68">
        <w:trPr>
          <w:cantSplit/>
          <w:trHeight w:val="1956"/>
          <w:tblHeader/>
        </w:trPr>
        <w:tc>
          <w:tcPr>
            <w:tcW w:w="312"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706"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left"/>
              <w:rPr>
                <w:rFonts w:eastAsia="Times New Roman" w:cs="Calibri"/>
                <w:b/>
                <w:bCs/>
                <w:color w:val="FFFFFF"/>
                <w:sz w:val="16"/>
                <w:szCs w:val="16"/>
              </w:rPr>
            </w:pPr>
          </w:p>
        </w:tc>
        <w:tc>
          <w:tcPr>
            <w:tcW w:w="867" w:type="dxa"/>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1024" w:type="dxa"/>
            <w:gridSpan w:val="2"/>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proofErr w:type="gramStart"/>
            <w:r w:rsidRPr="00D025DF">
              <w:rPr>
                <w:b/>
                <w:bCs/>
                <w:color w:val="FFFFFF"/>
                <w:sz w:val="14"/>
                <w:szCs w:val="14"/>
                <w:highlight w:val="yellow"/>
              </w:rPr>
              <w:t>Losses Screen</w:t>
            </w:r>
            <w:proofErr w:type="gramEnd"/>
            <w:r w:rsidRPr="00D025DF">
              <w:rPr>
                <w:rFonts w:eastAsia="Times New Roman" w:cs="Calibri"/>
                <w:b/>
                <w:bCs/>
                <w:color w:val="FFFFFF"/>
                <w:sz w:val="14"/>
                <w:szCs w:val="14"/>
              </w:rPr>
            </w:r>
            <w:r w:rsidRPr="00D025DF">
              <w:rPr>
                <w:rFonts w:eastAsia="Times New Roman" w:cs="Calibri"/>
                <w:b/>
                <w:bCs/>
                <w:color w:val="FFFFFF"/>
                <w:sz w:val="14"/>
                <w:szCs w:val="14"/>
              </w:rPr>
            </w:r>
            <w:r w:rsidRPr="00D025DF">
              <w:rPr>
                <w:rFonts w:eastAsia="Times New Roman" w:cs="Calibri"/>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Inventories Screen</w:t>
            </w:r>
            <w:proofErr w:type="gramEnd"/>
            <w:r>
              <w:rPr>
                <w:rFonts w:eastAsia="Arial" w:cs="Times New Roman"/>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Intangible Asset Screen</w:t>
            </w:r>
            <w:proofErr w:type="gramEnd"/>
            <w:r>
              <w:rPr>
                <w:rFonts w:eastAsia="Arial" w:cs="Times New Roman"/>
                <w:b/>
                <w:bCs/>
                <w:color w:val="FFFFFF"/>
                <w:sz w:val="14"/>
                <w:szCs w:val="14"/>
              </w:rPr>
            </w:r>
          </w:p>
        </w:tc>
        <w:tc>
          <w:tcPr>
            <w:tcW w:w="978"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1E7D68">
            <w:pPr>
              <w:spacing w:before="0" w:after="0" w:line="240" w:lineRule="auto"/>
              <w:jc w:val="center"/>
              <w:rPr>
                <w:rFonts w:eastAsia="Times New Roman" w:cs="Calibri"/>
                <w:b/>
                <w:bCs/>
                <w:color w:val="FFFFFF"/>
                <w:sz w:val="16"/>
                <w:szCs w:val="16"/>
              </w:rPr>
              <w:keepNext/>
            </w:pPr>
            <w:proofErr w:type="gramStart"/>
            <w:r>
              <w:rPr>
                <w:b/>
                <w:bCs/>
                <w:color w:val="FFFFFF"/>
                <w:sz w:val="14"/>
                <w:szCs w:val="14"/>
                <w:highlight w:val="yellow"/>
              </w:rPr>
              <w:t>R&amp;D Expense Screen</w:t>
            </w:r>
            <w:proofErr w:type="gramEnd"/>
            <w:r>
              <w:rPr>
                <w:rFonts w:eastAsia="Arial" w:cs="Times New Roman"/>
                <w:b/>
                <w:bCs/>
                <w:color w:val="FFFFFF"/>
                <w:sz w:val="14"/>
                <w:szCs w:val="14"/>
              </w:rPr>
            </w:r>
          </w:p>
        </w:tc>
        <w:tc>
          <w:tcPr>
            <w:tcW w:w="930"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left"/>
              <w:rPr>
                <w:rFonts w:eastAsia="Times New Roman" w:cs="Calibri"/>
                <w:b/>
                <w:bCs/>
                <w:color w:val="FFFFFF"/>
                <w:sz w:val="16"/>
                <w:szCs w:val="16"/>
              </w:rPr>
            </w:pPr>
          </w:p>
        </w:tc>
        <w:tc>
          <w:tcPr>
            <w:tcW w:w="545"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left"/>
              <w:rPr>
                <w:rFonts w:eastAsia="Times New Roman" w:cs="Calibri"/>
                <w:b/>
                <w:bCs/>
                <w:color w:val="FFFFFF"/>
                <w:sz w:val="16"/>
                <w:szCs w:val="16"/>
              </w:rPr>
            </w:pP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ADDVANTAGE TECHNOLOGIES GP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ALLIANCE ENTMNT HOLDING 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operates as a wholesaler and e-commerce provider offering vinyl records, video games, digital video discs, and other entertainment and consumer products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APPSWARM 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BOS BETTER ONLINE SOLUTIONS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Other - Company headquartered outside North America</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BRAVATEK SOLUTIONS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CDW 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CORTELCO SYSTEMS PUERTO RICO</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DATATEC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DIPLOMA PLC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EACO 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provides value-added services and solutions for various production needs comprising special packaging, bin stocking, kitting and assembly, bar coding, electronic requisitioning, integrated supply chain, etc.</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EDGETECH INTERNATIONAL</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EPLUS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provides professional and managed IT solutions; also provides equipment leasing and financing solutions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GRAYBAR ELECTRIC CO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Products - lighting</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GREENLANE HOLDINGS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INNO HOLDINGS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JACO ELECTRONICS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LIANHE SOWELL INTERNA GR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MITSUBISHI CORP</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PARAGON TECHNOLOGIES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provides material handling solutions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PHONEX HOLDINGS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PREMIUM BEVERAGE GROUP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QUARTA-RAD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RAYTECH HOLDING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Function - engages in the sourcing and wholesale of personal care and lifestyle electrical appliances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RESIDEO TECHNOLOGIES</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REXEL SA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RICHARDSON ELECTRONICS LTD</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SED INTERNATIONAL HLDGS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28</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SKY440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29</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SOLAR ENERGY INITIATIVES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30</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SOYO GROUP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31</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STINGER SYSTEMS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32</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SUNY CELLULAR COMMUNICATION</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33</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SURGE COMPONENTS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t>Different Products - capacitors and components</w:t>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34</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SYSOREX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35</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TAITRON COMPONENTS -CL A</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36</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WESCO INTL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X</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73B752AB"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37</w:t>
            </w:r>
          </w:p>
        </w:tc>
        <w:tc>
          <w:tcPr>
            <w:tcW w:w="706"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proofErr w:type="gramStart"/>
            <w:r>
              <w:rPr>
                <w:color w:val="000000"/>
                <w:sz w:val="16"/>
                <w:szCs w:val="16"/>
                <w:highlight w:val="yellow"/>
              </w:rPr>
              <w:t>WIRELESS XCESSORIES GRP INC</w:t>
            </w:r>
            <w:proofErr w:type="spellStart"/>
            <w:r>
              <w:rPr>
                <w:rFonts w:eastAsia="Times New Roman" w:cs="Calibri"/>
                <w:color w:val="000000"/>
                <w:sz w:val="16"/>
                <w:szCs w:val="16"/>
              </w:rPr>
            </w:r>
            <w:proofErr w:type="gramEnd"/>
            <w:r>
              <w:rPr>
                <w:rFonts w:eastAsia="Times New Roman" w:cs="Calibri"/>
                <w:color w:val="000000"/>
                <w:sz w:val="16"/>
                <w:szCs w:val="16"/>
              </w:rPr>
            </w:r>
            <w:proofErr w:type="spellEnd"/>
            <w:r>
              <w:rPr>
                <w:rFonts w:eastAsia="Times New Roman" w:cs="Calibri"/>
                <w:color w:val="000000"/>
                <w:sz w:val="16"/>
                <w:szCs w:val="16"/>
              </w:rPr>
            </w:r>
          </w:p>
        </w:tc>
        <w:tc>
          <w:tcPr>
            <w:tcW w:w="867" w:type="dxa"/>
            <w:tcBorders>
              <w:top w:val="nil"/>
              <w:left w:val="nil"/>
              <w:bottom w:val="single" w:sz="4" w:space="0" w:color="auto"/>
              <w:right w:val="single" w:sz="4" w:space="0" w:color="auto"/>
            </w:tcBorders>
            <w:noWrap/>
            <w:vAlign w:val="center"/>
            <w:hideMark/>
          </w:tcPr>
          <w:p w14:paraId="360EFAFD" w14:textId="32F36ABC"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X</w:t>
            </w:r>
          </w:p>
        </w:tc>
        <w:tc>
          <w:tcPr>
            <w:tcW w:w="1024" w:type="dxa"/>
            <w:gridSpan w:val="2"/>
            <w:tcBorders>
              <w:top w:val="nil"/>
              <w:left w:val="nil"/>
              <w:bottom w:val="single" w:sz="4" w:space="0" w:color="auto"/>
              <w:right w:val="nil"/>
            </w:tcBorders>
            <w:noWrap/>
            <w:vAlign w:val="center"/>
            <w:hideMark/>
          </w:tcPr>
          <w:p w14:paraId="77BF9F1D" w14:textId="6BF73D5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978" w:type="dxa"/>
            <w:tcBorders>
              <w:top w:val="nil"/>
              <w:left w:val="single" w:sz="4" w:space="0" w:color="auto"/>
              <w:bottom w:val="single" w:sz="4" w:space="0" w:color="auto"/>
              <w:right w:val="nil"/>
            </w:tcBorders>
            <w:noWrap/>
            <w:vAlign w:val="center"/>
            <w:hideMark/>
          </w:tcPr>
          <w:p w14:paraId="0D480842" w14:textId="42166FE0"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1F719509" w14:textId="0F15641D"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636F3191" w14:textId="30D0F195"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3BCD6377" w14:textId="371C05F6" w:rsidR="001E7D68" w:rsidRPr="004922C8" w:rsidRDefault="001E7D68" w:rsidP="001E7D68">
            <w:pPr>
              <w:spacing w:before="0" w:after="0" w:line="240" w:lineRule="auto"/>
              <w:jc w:val="center"/>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r>
          </w:p>
        </w:tc>
        <w:tc>
          <w:tcPr>
            <w:tcW w:w="545" w:type="dxa"/>
            <w:tcBorders>
              <w:top w:val="nil"/>
              <w:left w:val="nil"/>
              <w:bottom w:val="single" w:sz="4" w:space="0" w:color="auto"/>
              <w:right w:val="single" w:sz="4" w:space="0" w:color="auto"/>
            </w:tcBorders>
            <w:vAlign w:val="center"/>
            <w:hideMark/>
          </w:tcPr>
          <w:p w14:paraId="516D9343" w14:textId="76138F3F" w:rsidR="001E7D68" w:rsidRPr="004922C8" w:rsidRDefault="001E7D68" w:rsidP="001E7D68">
            <w:pPr>
              <w:spacing w:before="0" w:after="0" w:line="240" w:lineRule="auto"/>
              <w:jc w:val="left"/>
              <w:rPr>
                <w:rFonts w:eastAsia="Times New Roman" w:cs="Calibri"/>
                <w:sz w:val="16"/>
                <w:szCs w:val="16"/>
              </w:rPr>
              <w:keepNext/>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r>
              <w:rPr>
                <w:sz w:val="16"/>
                <w:highlight w:val="yellow"/>
              </w:rPr>
            </w:r>
          </w:p>
        </w:tc>
      </w:tr>
      <w:tr w:rsidR="001E7D68" w:rsidRPr="004922C8" w14:paraId="1F95FB74" w14:textId="77777777" w:rsidTr="001E7D68">
        <w:trPr>
          <w:trHeight w:val="20"/>
          <w:cantSplit/>
        </w:trPr>
        <w:tc>
          <w:tcPr>
            <w:tcW w:w="312" w:type="dxa"/>
            <w:tcBorders>
              <w:top w:val="nil"/>
              <w:left w:val="single" w:sz="4" w:space="0" w:color="auto"/>
              <w:bottom w:val="single" w:sz="4" w:space="0" w:color="auto"/>
              <w:right w:val="single" w:sz="4" w:space="0" w:color="auto"/>
            </w:tcBorders>
            <w:noWrap/>
            <w:vAlign w:val="center"/>
            <w:hideMark/>
          </w:tcPr>
          <w:p w14:paraId="752EE968" w14:textId="57DC43B7" w:rsidR="001E7D68" w:rsidRPr="004922C8" w:rsidRDefault="001E7D68" w:rsidP="001E7D68">
            <w:pPr>
              <w:spacing w:before="0" w:after="0" w:line="240" w:lineRule="auto"/>
              <w:jc w:val="center"/>
              <w:rPr>
                <w:rFonts w:eastAsia="Times New Roman" w:cs="Calibri"/>
                <w:sz w:val="16"/>
                <w:szCs w:val="16"/>
              </w:rPr>
            </w:pPr>
          </w:p>
        </w:tc>
        <w:tc>
          <w:tcPr>
            <w:tcW w:w="706" w:type="dxa"/>
            <w:tcBorders>
              <w:top w:val="nil"/>
              <w:left w:val="nil"/>
              <w:bottom w:val="single" w:sz="4" w:space="0" w:color="auto"/>
              <w:right w:val="single" w:sz="4" w:space="0" w:color="auto"/>
            </w:tcBorders>
            <w:vAlign w:val="center"/>
            <w:hideMark/>
          </w:tcPr>
          <w:p w14:paraId="23BD3A63" w14:textId="71BC4040" w:rsidR="001E7D68" w:rsidRPr="004922C8" w:rsidRDefault="001E7D68" w:rsidP="001E7D68">
            <w:pPr>
              <w:spacing w:before="0" w:after="0" w:line="240" w:lineRule="auto"/>
              <w:jc w:val="left"/>
              <w:rPr>
                <w:rFonts w:eastAsia="Times New Roman" w:cs="Calibri"/>
                <w:color w:val="000000"/>
                <w:sz w:val="16"/>
                <w:szCs w:val="16"/>
              </w:rPr>
            </w:pPr>
            <w:r w:rsidRPr="004922C8">
              <w:rPr>
                <w:rFonts w:eastAsia="Times New Roman" w:cs="Calibri"/>
                <w:color w:val="000000"/>
                <w:sz w:val="16"/>
                <w:szCs w:val="16"/>
              </w:rPr>
              <w:t>Total</w:t>
            </w:r>
          </w:p>
        </w:tc>
        <w:tc>
          <w:tcPr>
            <w:tcW w:w="867" w:type="dxa"/>
            <w:tcBorders>
              <w:top w:val="nil"/>
              <w:left w:val="nil"/>
              <w:bottom w:val="single" w:sz="4" w:space="0" w:color="auto"/>
              <w:right w:val="single" w:sz="4" w:space="0" w:color="auto"/>
            </w:tcBorders>
            <w:noWrap/>
            <w:vAlign w:val="center"/>
            <w:hideMark/>
          </w:tcPr>
          <w:p w14:paraId="2D75A854" w14:textId="25B5D2E1"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21</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1024" w:type="dxa"/>
            <w:gridSpan w:val="2"/>
            <w:tcBorders>
              <w:top w:val="nil"/>
              <w:left w:val="nil"/>
              <w:bottom w:val="single" w:sz="4" w:space="0" w:color="auto"/>
              <w:right w:val="nil"/>
            </w:tcBorders>
            <w:noWrap/>
            <w:vAlign w:val="center"/>
            <w:hideMark/>
          </w:tcPr>
          <w:p w14:paraId="15C7797B" w14:textId="5CB4F8B3"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2</w:t>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p>
        </w:tc>
        <w:tc>
          <w:tcPr>
            <w:tcW w:w="978" w:type="dxa"/>
            <w:tcBorders>
              <w:top w:val="nil"/>
              <w:left w:val="single" w:sz="4" w:space="0" w:color="auto"/>
              <w:bottom w:val="single" w:sz="4" w:space="0" w:color="auto"/>
              <w:right w:val="nil"/>
            </w:tcBorders>
            <w:noWrap/>
            <w:vAlign w:val="center"/>
            <w:hideMark/>
          </w:tcPr>
          <w:p w14:paraId="208C2ACB" w14:textId="146408DE" w:rsidR="001E7D68" w:rsidRPr="004922C8" w:rsidRDefault="001E7D68" w:rsidP="001E7D68">
            <w:pPr>
              <w:spacing w:before="0" w:after="0" w:line="240" w:lineRule="auto"/>
              <w:jc w:val="center"/>
              <w:rPr>
                <w:rFonts w:eastAsia="Times New Roman" w:cs="Calibri"/>
                <w:sz w:val="16"/>
                <w:szCs w:val="16"/>
              </w:rPr>
            </w:pPr>
            <w:proofErr w:type="gramStart"/>
            <w:r>
              <w:rPr>
                <w:sz w:val="16"/>
                <w:szCs w:val="16"/>
                <w:highlight w:val="yellow"/>
              </w:rPr>
              <w:t>2</w:t>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3C526FAF" w14:textId="4B67D223"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3</w:t>
            </w:r>
            <w:r>
              <w:rPr>
                <w:sz w:val="16"/>
              </w:rPr>
              <w:t xml:space="preserve"> </w:t>
            </w:r>
          </w:p>
        </w:tc>
        <w:tc>
          <w:tcPr>
            <w:tcW w:w="978" w:type="dxa"/>
            <w:tcBorders>
              <w:top w:val="nil"/>
              <w:left w:val="single" w:sz="4" w:space="0" w:color="auto"/>
              <w:bottom w:val="single" w:sz="4" w:space="0" w:color="auto"/>
              <w:right w:val="nil"/>
            </w:tcBorders>
            <w:noWrap/>
            <w:vAlign w:val="center"/>
            <w:hideMark/>
          </w:tcPr>
          <w:p w14:paraId="4193606B" w14:textId="68F55EBB"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gramEnd"/>
            <w:r>
              <w:rPr>
                <w:rFonts w:eastAsia="Times New Roman" w:cs="Calibri"/>
                <w:sz w:val="16"/>
                <w:szCs w:val="16"/>
              </w:rPr>
            </w:r>
            <w:proofErr w:type="gramStart"/>
            <w:r>
              <w:rPr>
                <w:rFonts w:eastAsia="Times New Roman" w:cs="Calibri"/>
                <w:sz w:val="16"/>
                <w:szCs w:val="16"/>
              </w:rPr>
            </w:r>
            <w:proofErr w:type="gramEnd"/>
            <w:r>
              <w:rPr>
                <w:rFonts w:eastAsia="Times New Roman" w:cs="Calibri"/>
                <w:sz w:val="16"/>
                <w:szCs w:val="16"/>
              </w:rPr>
            </w:r>
            <w:r w:rsidRPr="004922C8">
              <w:rPr>
                <w:rFonts w:eastAsia="Times New Roman" w:cs="Calibri"/>
                <w:sz w:val="16"/>
                <w:szCs w:val="16"/>
              </w:rPr>
            </w:r>
            <w:r>
              <w:rPr>
                <w:sz w:val="16"/>
                <w:highlight w:val="yellow"/>
              </w:rPr>
              <w:t>1</w:t>
            </w:r>
            <w:r>
              <w:rPr>
                <w:sz w:val="16"/>
              </w:rPr>
              <w:t xml:space="preserve"> </w:t>
            </w:r>
          </w:p>
        </w:tc>
        <w:tc>
          <w:tcPr>
            <w:tcW w:w="930" w:type="dxa"/>
            <w:tcBorders>
              <w:top w:val="nil"/>
              <w:left w:val="single" w:sz="4" w:space="0" w:color="auto"/>
              <w:bottom w:val="single" w:sz="4" w:space="0" w:color="auto"/>
              <w:right w:val="single" w:sz="4" w:space="0" w:color="auto"/>
            </w:tcBorders>
            <w:noWrap/>
            <w:vAlign w:val="center"/>
            <w:hideMark/>
          </w:tcPr>
          <w:p w14:paraId="4DE6CC86" w14:textId="0E1E9DFF" w:rsidR="001E7D68" w:rsidRPr="004922C8" w:rsidRDefault="001E7D68" w:rsidP="001E7D68">
            <w:pPr>
              <w:spacing w:before="0" w:after="0" w:line="240" w:lineRule="auto"/>
              <w:jc w:val="center"/>
              <w:rPr>
                <w:rFonts w:eastAsia="Times New Roman" w:cs="Calibri"/>
                <w:sz w:val="16"/>
                <w:szCs w:val="16"/>
              </w:rPr>
            </w:pPr>
            <w:r w:rsidRPr="004922C8">
              <w:rPr>
                <w:sz w:val="16"/>
                <w:szCs w:val="16"/>
              </w:rPr>
              <w:t xml:space="preserve">  </w:t>
            </w:r>
            <w:proofErr w:type="gramStart"/>
            <w:r>
              <w:rPr>
                <w:rFonts w:eastAsia="Times New Roman" w:cs="Calibri"/>
                <w:sz w:val="16"/>
                <w:szCs w:val="16"/>
              </w:rPr>
            </w:r>
            <w:proofErr w:type="spellStart"/>
            <w:r>
              <w:rPr>
                <w:rFonts w:eastAsia="Times New Roman" w:cs="Calibri"/>
                <w:sz w:val="16"/>
                <w:szCs w:val="16"/>
              </w:rPr>
            </w:r>
            <w:proofErr w:type="gramEnd"/>
            <w:r>
              <w:rPr>
                <w:rFonts w:eastAsia="Times New Roman" w:cs="Calibri"/>
                <w:sz w:val="16"/>
                <w:szCs w:val="16"/>
              </w:rPr>
            </w:r>
            <w:proofErr w:type="spellEnd"/>
            <w:r>
              <w:rPr>
                <w:rFonts w:eastAsia="Times New Roman" w:cs="Calibri"/>
                <w:sz w:val="16"/>
                <w:szCs w:val="16"/>
              </w:rPr>
            </w:r>
            <w:r>
              <w:rPr>
                <w:sz w:val="16"/>
                <w:highlight w:val="yellow"/>
              </w:rPr>
              <w:t>8</w:t>
            </w:r>
          </w:p>
        </w:tc>
        <w:tc>
          <w:tcPr>
            <w:tcW w:w="545" w:type="dxa"/>
            <w:tcBorders>
              <w:top w:val="nil"/>
              <w:left w:val="nil"/>
              <w:bottom w:val="single" w:sz="4" w:space="0" w:color="auto"/>
              <w:right w:val="single" w:sz="4" w:space="0" w:color="auto"/>
            </w:tcBorders>
            <w:vAlign w:val="center"/>
            <w:hideMark/>
          </w:tcPr>
          <w:p w14:paraId="2A4120D9" w14:textId="52CD1E08" w:rsidR="001E7D68" w:rsidRPr="004922C8" w:rsidRDefault="001E7D68" w:rsidP="001E7D68">
            <w:pPr>
              <w:spacing w:before="0" w:after="0" w:line="240" w:lineRule="auto"/>
              <w:jc w:val="left"/>
              <w:rPr>
                <w:rFonts w:eastAsia="Times New Roman" w:cs="Calibri"/>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6"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7"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3747" w14:textId="77777777" w:rsidR="00E36734" w:rsidRDefault="00E36734" w:rsidP="0022176B">
      <w:pPr>
        <w:spacing w:before="0" w:after="0" w:line="240" w:lineRule="auto"/>
      </w:pPr>
      <w:r>
        <w:separator/>
      </w:r>
    </w:p>
  </w:endnote>
  <w:endnote w:type="continuationSeparator" w:id="0">
    <w:p w14:paraId="39D6FC1B" w14:textId="77777777" w:rsidR="00E36734" w:rsidRDefault="00E36734"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0000000000000000000"/>
    <w:charset w:val="00"/>
    <w:family w:val="roman"/>
    <w:notTrueType/>
    <w:pitch w:val="default"/>
  </w:font>
  <w:font w:name="Univers for KPMG Light">
    <w:altName w:val="Calibri"/>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charset w:val="B1"/>
    <w:family w:val="swiss"/>
    <w:pitch w:val="variable"/>
    <w:sig w:usb0="00000803" w:usb1="00000000" w:usb2="00000000" w:usb3="00000000" w:csb0="00000021" w:csb1="00000000"/>
  </w:font>
  <w:font w:name="Latha">
    <w:panose1 w:val="02000400000000000000"/>
    <w:charset w:val="00"/>
    <w:family w:val="swiss"/>
    <w:pitch w:val="variable"/>
    <w:sig w:usb0="00100003" w:usb1="00000000" w:usb2="00000000" w:usb3="00000000" w:csb0="00000001" w:csb1="00000000"/>
  </w:font>
  <w:font w:name="Univers for KPMG">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5C3A" w14:textId="77777777" w:rsidR="00E36734" w:rsidRDefault="00E36734" w:rsidP="0022176B">
      <w:pPr>
        <w:spacing w:before="0" w:after="0" w:line="240" w:lineRule="auto"/>
      </w:pPr>
      <w:r>
        <w:separator/>
      </w:r>
    </w:p>
  </w:footnote>
  <w:footnote w:type="continuationSeparator" w:id="0">
    <w:p w14:paraId="30A7ECA0" w14:textId="77777777" w:rsidR="00E36734" w:rsidRDefault="00E36734"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4A479E3C" w14:textId="3D9B5B43" w:rsidR="0031383F" w:rsidRDefault="00B62FDF" w:rsidP="00AA75FE">
          <w:pPr>
            <w:pStyle w:val="Header"/>
            <w:tabs>
              <w:tab w:val="right" w:pos="8222"/>
            </w:tabs>
            <w:ind w:left="720"/>
            <w:jc w:val="right"/>
            <w:rPr>
              <w:sz w:val="20"/>
              <w:szCs w:val="20"/>
            </w:rPr>
          </w:pPr>
          <w:proofErr w:type="gramStart"/>
          <w:r>
            <w:rPr>
              <w:sz w:val="20"/>
              <w:szCs w:val="20"/>
              <w:highlight w:val="yellow"/>
            </w:rPr>
            <w:t>Orchid - IT Distribution - US - 2022-2024</w:t>
          </w:r>
          <w:proofErr w:type="spellStart"/>
          <w:r w:rsidR="00AA75FE">
            <w:rPr>
              <w:sz w:val="20"/>
              <w:szCs w:val="20"/>
            </w:rPr>
          </w:r>
          <w:proofErr w:type="gramEnd"/>
          <w:r w:rsidR="00AA75FE">
            <w:rPr>
              <w:sz w:val="20"/>
              <w:szCs w:val="20"/>
            </w:rPr>
          </w:r>
          <w:proofErr w:type="gramStart"/>
          <w:r w:rsidR="00AA75FE">
            <w:rPr>
              <w:sz w:val="20"/>
              <w:szCs w:val="20"/>
            </w:rPr>
          </w:r>
          <w:proofErr w:type="spellEnd"/>
          <w:r w:rsidR="007461AA">
            <w:rPr>
              <w:sz w:val="20"/>
              <w:szCs w:val="20"/>
            </w:rPr>
          </w:r>
          <w:proofErr w:type="gramEnd"/>
          <w:r w:rsidR="007461AA">
            <w:rPr>
              <w:sz w:val="20"/>
              <w:szCs w:val="20"/>
            </w:rPr>
          </w:r>
        </w:p>
        <w:p w14:paraId="388E34A5" w14:textId="23D4D372" w:rsidR="0031383F" w:rsidRPr="0041685B" w:rsidRDefault="0031383F" w:rsidP="00AA75FE">
          <w:pPr>
            <w:pStyle w:val="Header"/>
            <w:tabs>
              <w:tab w:val="right" w:pos="8222"/>
            </w:tabs>
            <w:ind w:left="720"/>
            <w:jc w:val="right"/>
            <w:rPr>
              <w:sz w:val="20"/>
              <w:szCs w:val="20"/>
            </w:rPr>
          </w:pPr>
          <w:r>
            <w:rPr>
              <w:i/>
              <w:iCs/>
              <w:sz w:val="20"/>
              <w:szCs w:val="20"/>
            </w:rPr>
            <w:t xml:space="preserve">Appendices to Transfer Pricing Analysis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C149F"/>
    <w:rsid w:val="000C154C"/>
    <w:rsid w:val="000C3233"/>
    <w:rsid w:val="000C3840"/>
    <w:rsid w:val="000C7A61"/>
    <w:rsid w:val="000D6294"/>
    <w:rsid w:val="000E51C0"/>
    <w:rsid w:val="000F209A"/>
    <w:rsid w:val="000F5648"/>
    <w:rsid w:val="000F63A0"/>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7BA9"/>
    <w:rsid w:val="002F0DC2"/>
    <w:rsid w:val="003051BB"/>
    <w:rsid w:val="003062A5"/>
    <w:rsid w:val="003076B8"/>
    <w:rsid w:val="00307D5E"/>
    <w:rsid w:val="0031262E"/>
    <w:rsid w:val="0031383F"/>
    <w:rsid w:val="00316E92"/>
    <w:rsid w:val="00326703"/>
    <w:rsid w:val="0033618F"/>
    <w:rsid w:val="00337A24"/>
    <w:rsid w:val="00337B3D"/>
    <w:rsid w:val="00350AF4"/>
    <w:rsid w:val="0036149E"/>
    <w:rsid w:val="003664F3"/>
    <w:rsid w:val="00370FE0"/>
    <w:rsid w:val="00373D25"/>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79F"/>
    <w:rsid w:val="00506F6F"/>
    <w:rsid w:val="00523E22"/>
    <w:rsid w:val="00527E1F"/>
    <w:rsid w:val="00531579"/>
    <w:rsid w:val="005400CD"/>
    <w:rsid w:val="00547A39"/>
    <w:rsid w:val="00547F00"/>
    <w:rsid w:val="005508BF"/>
    <w:rsid w:val="00554935"/>
    <w:rsid w:val="00555AD8"/>
    <w:rsid w:val="00557C2F"/>
    <w:rsid w:val="00564C65"/>
    <w:rsid w:val="005764E7"/>
    <w:rsid w:val="0057744E"/>
    <w:rsid w:val="00593AB4"/>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5517"/>
    <w:rsid w:val="008164CB"/>
    <w:rsid w:val="008366A4"/>
    <w:rsid w:val="00836D4A"/>
    <w:rsid w:val="00840892"/>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8A3"/>
    <w:rsid w:val="00997F4F"/>
    <w:rsid w:val="009A18C6"/>
    <w:rsid w:val="009A51CB"/>
    <w:rsid w:val="009C2287"/>
    <w:rsid w:val="009C29B7"/>
    <w:rsid w:val="009E1CAA"/>
    <w:rsid w:val="009F285D"/>
    <w:rsid w:val="009F38E5"/>
    <w:rsid w:val="009F685E"/>
    <w:rsid w:val="00A0656F"/>
    <w:rsid w:val="00A12D12"/>
    <w:rsid w:val="00A201D7"/>
    <w:rsid w:val="00A21582"/>
    <w:rsid w:val="00A22030"/>
    <w:rsid w:val="00A32D6D"/>
    <w:rsid w:val="00A34CF7"/>
    <w:rsid w:val="00A37725"/>
    <w:rsid w:val="00A407BC"/>
    <w:rsid w:val="00A43B70"/>
    <w:rsid w:val="00A51BB2"/>
    <w:rsid w:val="00A52AF0"/>
    <w:rsid w:val="00A552A1"/>
    <w:rsid w:val="00A57CBD"/>
    <w:rsid w:val="00A65322"/>
    <w:rsid w:val="00A67FD4"/>
    <w:rsid w:val="00A72807"/>
    <w:rsid w:val="00A86DFA"/>
    <w:rsid w:val="00A9283E"/>
    <w:rsid w:val="00A9707D"/>
    <w:rsid w:val="00A97614"/>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A4507"/>
    <w:rsid w:val="00BA5800"/>
    <w:rsid w:val="00BB5AC5"/>
    <w:rsid w:val="00BD67AE"/>
    <w:rsid w:val="00BD7A9B"/>
    <w:rsid w:val="00BE52B2"/>
    <w:rsid w:val="00BE5EA5"/>
    <w:rsid w:val="00BF154F"/>
    <w:rsid w:val="00BF39DA"/>
    <w:rsid w:val="00BF4259"/>
    <w:rsid w:val="00BF6BAD"/>
    <w:rsid w:val="00BF6F95"/>
    <w:rsid w:val="00C06B73"/>
    <w:rsid w:val="00C100C9"/>
    <w:rsid w:val="00C101FE"/>
    <w:rsid w:val="00C1369C"/>
    <w:rsid w:val="00C20711"/>
    <w:rsid w:val="00C32E6E"/>
    <w:rsid w:val="00C33DE4"/>
    <w:rsid w:val="00C456D7"/>
    <w:rsid w:val="00C45B3B"/>
    <w:rsid w:val="00C602FB"/>
    <w:rsid w:val="00C6115C"/>
    <w:rsid w:val="00C75FDF"/>
    <w:rsid w:val="00C9169D"/>
    <w:rsid w:val="00CB00F1"/>
    <w:rsid w:val="00CC1628"/>
    <w:rsid w:val="00CC6EFF"/>
    <w:rsid w:val="00CE328E"/>
    <w:rsid w:val="00CE50EE"/>
    <w:rsid w:val="00CF2E00"/>
    <w:rsid w:val="00CF7107"/>
    <w:rsid w:val="00D01B26"/>
    <w:rsid w:val="00D020D9"/>
    <w:rsid w:val="00D025DF"/>
    <w:rsid w:val="00D03082"/>
    <w:rsid w:val="00D041FE"/>
    <w:rsid w:val="00D04B8C"/>
    <w:rsid w:val="00D14D57"/>
    <w:rsid w:val="00D2422B"/>
    <w:rsid w:val="00D24769"/>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5B76"/>
    <w:rsid w:val="00FC3A7D"/>
    <w:rsid w:val="00FC5186"/>
    <w:rsid w:val="00FC53E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731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Bar, Refael</cp:lastModifiedBy>
  <cp:revision>2</cp:revision>
  <dcterms:created xsi:type="dcterms:W3CDTF">2026-06-07T10:02:00Z</dcterms:created>
  <dcterms:modified xsi:type="dcterms:W3CDTF">2026-06-07T10:02:00Z</dcterms:modified>
</cp:coreProperties>
</file>