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A75B" w14:textId="77777777" w:rsidR="00654DC4" w:rsidRPr="0063238C" w:rsidRDefault="00654DC4" w:rsidP="00654DC4">
      <w:pPr>
        <w:tabs>
          <w:tab w:val="left" w:pos="3136"/>
        </w:tabs>
        <w:bidi/>
        <w:spacing w:before="0" w:after="0" w:line="240" w:lineRule="auto"/>
        <w:rPr>
          <w:rFonts w:eastAsia="Times New Roman"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r>
              <w:rPr>
                <w:b/>
                <w:smallCaps/>
                <w:sz w:val="40"/>
                <w:szCs w:val="40"/>
                <w:highlight w:val="yellow"/>
                <w:lang w:bidi="ar-SA"/>
              </w:rPr>
              <w:t>ECOncrete - EU Distribution - Construction materials - 22-24</w:t>
            </w:r>
            <w:r w:rsidR="00557C2F">
              <w:rPr>
                <w:rFonts w:eastAsia="Times New Roman" w:cs="Times New Roman"/>
                <w:b/>
                <w:smallCaps/>
                <w:sz w:val="40"/>
                <w:szCs w:val="40"/>
                <w:lang w:bidi="ar-SA"/>
              </w:rPr>
            </w:r>
            <w:r w:rsidR="007461AA">
              <w:rPr>
                <w:rFonts w:eastAsia="Times New Roman" w:cs="Times New Roman"/>
                <w:b/>
                <w:smallCaps/>
                <w:sz w:val="40"/>
                <w:szCs w:val="40"/>
                <w:lang w:bidi="ar-SA"/>
              </w:rPr>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noProof/>
                <w:sz w:val="40"/>
                <w:szCs w:val="40"/>
                <w:lang w:bidi="ar-SA"/>
              </w:rPr>
              <w:t xml:space="preserve">Fiscal Year Ending December 31, </w:t>
            </w:r>
            <w:r w:rsidR="008972D7">
              <w:rPr>
                <w:rFonts w:eastAsia="Times New Roman" w:cs="Times New Roman"/>
                <w:noProof/>
                <w:sz w:val="40"/>
                <w:szCs w:val="40"/>
                <w:lang w:bidi="ar-SA"/>
              </w:rPr>
            </w:r>
            <w:r w:rsidR="00557C2F">
              <w:rPr>
                <w:rFonts w:eastAsia="Times New Roman" w:cs="Times New Roman"/>
                <w:noProof/>
                <w:sz w:val="40"/>
                <w:szCs w:val="40"/>
                <w:lang w:bidi="ar-SA"/>
              </w:rPr>
            </w:r>
            <w:r w:rsidR="008972D7">
              <w:rPr>
                <w:rFonts w:eastAsia="Times New Roman" w:cs="Times New Roman"/>
                <w:noProof/>
                <w:sz w:val="40"/>
                <w:szCs w:val="40"/>
                <w:lang w:bidi="ar-SA"/>
              </w:rPr>
            </w:r>
            <w:r w:rsidR="00B62FDF">
              <w:rPr>
                <w:rFonts w:eastAsia="Times New Roman" w:cs="Times New Roman"/>
                <w:noProof/>
                <w:sz w:val="40"/>
                <w:szCs w:val="40"/>
                <w:lang w:bidi="ar-SA"/>
              </w:rPr>
            </w:r>
            <w:r w:rsidR="00557C2F">
              <w:rPr>
                <w:rFonts w:eastAsia="Times New Roman" w:cs="Times New Roman"/>
                <w:noProof/>
                <w:sz w:val="40"/>
                <w:szCs w:val="40"/>
                <w:lang w:bidi="ar-SA"/>
              </w:rPr>
            </w:r>
            <w:r w:rsidR="007461AA">
              <w:rPr>
                <w:rFonts w:eastAsia="Times New Roman" w:cs="Times New Roman"/>
                <w:noProof/>
                <w:sz w:val="40"/>
                <w:szCs w:val="40"/>
                <w:lang w:bidi="ar-SA"/>
              </w:rPr>
            </w:r>
            <w:r>
              <w:rPr>
                <w:sz w:val="40"/>
                <w:highlight w:val="yellow"/>
              </w:rPr>
              <w:t>2025</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411A152B" w14:textId="20AAF1B5" w:rsidR="00FB43EF" w:rsidRDefault="00ED179A" w:rsidP="00FB43EF">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49F117AE" w:rsidR="00ED179A" w:rsidRDefault="007F7CF8" w:rsidP="007F7CF8">
      <w:pPr>
        <w:widowControl w:val="0"/>
        <w:adjustRightInd w:val="0"/>
        <w:spacing w:before="200" w:after="200"/>
        <w:textAlignment w:val="baseline"/>
      </w:pPr>
      <w:r w:rsidRPr="007F7CF8">
        <w:rPr/>
        <w:t xml:space="preserve">To identify companies performing functions broadly comparable to those of the Tested Party, KPMG performed a search using </w:t>
      </w:r>
      <w:r w:rsidR="00ED179A" w:rsidRPr="00A253C3"/>
      <w:r w:rsidR="00B62FDF"/>
      <w:r w:rsidR="00AA75FE"/>
      <w:r w:rsidR="00AA75FE" w:rsidRPr="00AA75FE"/>
      <w:r w:rsidR="00AA75FE"/>
      <w:r w:rsidR="00AA75FE" w:rsidRPr="00AA75FE"/>
      <w:r w:rsidR="007461AA"/>
      <w:r w:rsidR="00D30967"/>
      <w:r w:rsidR="00ED179A" w:rsidRPr="008505A9"/>
      <w:r w:rsidR="00ED179A" w:rsidRPr="00A253C3"/>
      <w:r w:rsidR="00D30967"/>
      <w:r w:rsidR="00B62FDF"/>
      <w:r w:rsidR="00AA75FE"/>
      <w:r w:rsidR="00AA75FE" w:rsidRPr="00AA75FE"/>
      <w:r w:rsidR="00AA75FE"/>
      <w:r w:rsidR="00AA75FE" w:rsidRPr="00AA75FE"/>
      <w:r w:rsidR="00AA75FE"/>
      <w:r w:rsidR="007461AA"/>
      <w:r w:rsidR="00ED179A" w:rsidRPr="00A253C3"/>
      <w:r>
        <w:rPr>
          <w:highlight w:val="yellow"/>
        </w:rPr>
        <w:t>Compustat Global</w:t>
      </w:r>
      <w:r>
        <w:rPr/>
        <w:t xml:space="preserve"> database (as of </w:t>
      </w:r>
      <w:r>
        <w:rPr>
          <w:highlight w:val="yellow"/>
        </w:rPr>
        <w:t>May 2026</w:t>
      </w:r>
      <w:r>
        <w:rPr/>
        <w:t xml:space="preserve">). </w:t>
      </w:r>
    </w:p>
    <w:p w14:paraId="2F4C780B" w14:textId="1C835422" w:rsidR="00B15A51" w:rsidRDefault="00ED179A" w:rsidP="00ED179A">
      <w:pPr>
        <w:widowControl w:val="0"/>
        <w:adjustRightInd w:val="0"/>
        <w:spacing w:before="200" w:after="200"/>
        <w:textAlignment w:val="baseline"/>
      </w:pPr>
      <w:r w:rsidRPr="00A253C3">
        <w:t xml:space="preserve">The geographical screening was applied </w:t>
      </w:r>
      <w:r w:rsidR="00594CBE">
        <w:t>to include companies operating in the</w:t>
      </w:r>
      <w:r w:rsidR="00594CBE" w:rsidRPr="00A253C3">
        <w:t xml:space="preserve"> </w:t>
      </w:r>
      <w:r w:rsidRPr="00A253C3">
        <w:t>following regions:</w:t>
      </w:r>
    </w:p>
    <w:p w14:paraId="0518643B" w14:textId="77D864E0" w:rsidR="00ED179A" w:rsidRDefault="00B62FDF" w:rsidP="00B15A51">
      <w:pPr>
        <w:pStyle w:val="ListParagraph"/>
        <w:widowControl w:val="0"/>
        <w:numPr>
          <w:ilvl w:val="0"/>
          <w:numId w:val="45"/>
        </w:numPr>
        <w:adjustRightInd w:val="0"/>
        <w:textAlignment w:val="baseline"/>
        <w:rPr>
          <w:rFonts w:ascii="Univers 45 Light" w:hAnsi="Univers 45 Light"/>
          <w:sz w:val="22"/>
          <w:szCs w:val="22"/>
        </w:rPr>
      </w:pPr>
      <w:r>
        <w:rPr>
          <w:rFonts w:ascii="Univers 45 Light" w:hAnsi="Univers 45 Light"/>
          <w:sz w:val="22"/>
          <w:szCs w:val="22"/>
          <w:highlight w:val="yellow"/>
        </w:rPr>
        <w:t>Europe (EU26), Norway, Switzerland, United Kingdom</w:t>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AA75FE">
        <w:rPr>
          <w:rFonts w:ascii="Univers 45 Light" w:hAnsi="Univers 45 Light"/>
          <w:sz w:val="22"/>
          <w:szCs w:val="22"/>
        </w:rPr>
      </w:r>
      <w:r w:rsidR="00AA75FE" w:rsidRPr="00AA75FE">
        <w:rPr>
          <w:rFonts w:ascii="Univers 45 Light" w:hAnsi="Univers 45 Light"/>
          <w:sz w:val="22"/>
          <w:szCs w:val="22"/>
        </w:rPr>
      </w:r>
      <w:r w:rsidR="007461AA">
        <w:rPr>
          <w:rFonts w:ascii="Univers 45 Light" w:hAnsi="Univers 45 Light"/>
          <w:sz w:val="22"/>
          <w:szCs w:val="22"/>
        </w:rPr>
      </w:r>
    </w:p>
    <w:p w14:paraId="13C9EFEC" w14:textId="594764AB" w:rsidR="00ED179A" w:rsidRDefault="00ED179A" w:rsidP="00ED179A">
      <w:pPr>
        <w:widowControl w:val="0"/>
        <w:adjustRightInd w:val="0"/>
        <w:spacing w:before="200" w:after="200"/>
        <w:textAlignment w:val="baseline"/>
      </w:pPr>
      <w:r w:rsidRPr="00A253C3">
        <w:t xml:space="preserve">The following Standard Industrial Classification </w:t>
      </w:r>
      <w:r w:rsidR="00594CBE">
        <w:t xml:space="preserve">(SIC) </w:t>
      </w:r>
      <w:r w:rsidRPr="00A253C3">
        <w:t>codes were selected:</w:t>
      </w:r>
    </w:p>
    <w:p w14:paraId="74947278" w14:textId="22CAFDE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SIC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commentRangeStart w:id="3"/>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commentRangeEnd w:id="3"/>
            <w:r w:rsidR="000C154C" w:rsidRPr="00EA7CA3">
              <w:rPr>
                <w:rStyle w:val="CommentReference"/>
                <w:rFonts w:eastAsia="Times New Roman" w:cs="Calibri"/>
                <w:b/>
                <w:bCs/>
                <w:color w:val="FFFFFF"/>
                <w:sz w:val="18"/>
                <w:szCs w:val="18"/>
              </w:rPr>
              <w:commentReference w:id="3"/>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Furniture And Home Furnishings-Wholesale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And Other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5031</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Plywood, Millwork, And Wood Panels-Wholesale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Brick, Stone, And Related Construction Materials-Wholesale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5039</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Materials-Wholesale, Nec</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Machinery, Equipment, And Supplies-Wholesale</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5082</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Construction And Mining(Except Petroleum) Machinery And Equipment-Whsl</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r>
              <w:rPr>
                <w:color w:val="000000"/>
                <w:sz w:val="18"/>
                <w:szCs w:val="18"/>
                <w:highlight w:val="yellow"/>
              </w:rPr>
              <w:t>5211</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r>
              <w:rPr>
                <w:color w:val="000000"/>
                <w:sz w:val="18"/>
                <w:szCs w:val="18"/>
                <w:highlight w:val="yellow"/>
              </w:rPr>
              <w:t>Lumber And Other Building Materials Dealers</w:t>
            </w:r>
          </w:p>
        </w:tc>
      </w:tr>
    </w:tbl>
    <w:bookmarkEnd w:id="2"/>
    <w:p w14:paraId="557BF35C" w14:textId="72D0A302" w:rsidR="00ED179A" w:rsidRPr="00551DAE" w:rsidRDefault="00ED179A" w:rsidP="00ED179A">
      <w:pPr>
        <w:widowControl w:val="0"/>
        <w:adjustRightInd w:val="0"/>
        <w:spacing w:before="200" w:after="200"/>
        <w:textAlignment w:val="baseline"/>
      </w:pPr>
      <w:r w:rsidRPr="00551DAE">
        <w:rPr/>
        <w:t xml:space="preserve">The search produced an initial set of </w:t>
      </w:r>
      <w:r>
        <w:rPr>
          <w:highlight w:val="yellow"/>
        </w:rPr>
        <w:t>33</w:t>
      </w:r>
      <w:r>
        <w:rPr/>
        <w:t xml:space="preserve"> potentially comparable </w:t>
      </w:r>
      <w:r>
        <w:rPr>
          <w:highlight w:val="yellow"/>
        </w:rPr>
        <w:t>active</w:t>
      </w:r>
      <w:r>
        <w:rPr/>
        <w:t xml:space="preserv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FEFADEE" w14:textId="0B3053C3" w:rsidR="00EC53B6" w:rsidRPr="00EC53B6" w:rsidRDefault="00ED179A" w:rsidP="00EC53B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43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2386"/>
        <w:gridCol w:w="1377"/>
        <w:gridCol w:w="1795"/>
      </w:tblGrid>
      <w:tr w:rsidR="000C154C" w:rsidRPr="006A0317" w14:paraId="0D37568B" w14:textId="77777777" w:rsidTr="00EC53B6">
        <w:trPr>
          <w:trHeight w:val="403"/>
          <w:jc w:val="center"/>
          <w:cantSplit/>
        </w:trPr>
        <w:tc>
          <w:tcPr>
            <w:tcW w:w="1157"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Measure</w:t>
            </w:r>
          </w:p>
        </w:tc>
        <w:tc>
          <w:tcPr>
            <w:tcW w:w="1650"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Arial"/>
                <w:b/>
                <w:bCs/>
                <w:color w:val="FFFFFF"/>
                <w:kern w:val="24"/>
                <w:sz w:val="14"/>
                <w:szCs w:val="14"/>
              </w:rPr>
              <w:t>Rejection Filter</w:t>
            </w:r>
          </w:p>
        </w:tc>
        <w:tc>
          <w:tcPr>
            <w:tcW w:w="95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Eliminated</w:t>
            </w:r>
          </w:p>
        </w:tc>
        <w:tc>
          <w:tcPr>
            <w:tcW w:w="1241"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keepNext/>
            </w:pPr>
            <w:r w:rsidRPr="006A0317">
              <w:rPr>
                <w:rFonts w:cs="Times New Roman"/>
                <w:b/>
                <w:color w:val="FFFFFF"/>
                <w:sz w:val="14"/>
                <w:szCs w:val="14"/>
              </w:rPr>
              <w:t>Remaining</w:t>
            </w:r>
          </w:p>
        </w:tc>
      </w:tr>
      <w:tr w:rsidR="000C154C" w:rsidRPr="006A0317" w14:paraId="4297C725" w14:textId="77777777" w:rsidTr="00EC53B6">
        <w:trPr>
          <w:trHeight w:val="506"/>
          <w:jc w:val="center"/>
          <w:cantSplit/>
        </w:trPr>
        <w:tc>
          <w:tcPr>
            <w:tcW w:w="1157"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b/>
                <w:bCs/>
                <w:sz w:val="14"/>
                <w:szCs w:val="14"/>
                <w:highlight w:val="yellow"/>
              </w:rPr>
              <w:t>Data Sufficiency</w:t>
            </w:r>
            <w:r w:rsidR="00A552A1" w:rsidRPr="00A552A1">
              <w:rPr>
                <w:rFonts w:eastAsia="Arial" w:cs="Times New Roman"/>
                <w:b/>
                <w:bCs/>
                <w:sz w:val="14"/>
                <w:szCs w:val="14"/>
              </w:rPr>
            </w:r>
            <w:r>
              <w:rPr>
                <w:rFonts w:eastAsia="Arial" w:cs="Times New Roman"/>
                <w:b/>
                <w:bCs/>
                <w:sz w:val="14"/>
                <w:szCs w:val="14"/>
              </w:rPr>
            </w:r>
            <w:r w:rsidR="00A552A1" w:rsidRPr="00A552A1">
              <w:rPr>
                <w:rFonts w:eastAsia="Arial" w:cs="Times New Roman"/>
                <w:b/>
                <w:bCs/>
                <w:sz w:val="14"/>
                <w:szCs w:val="14"/>
              </w:rPr>
            </w:r>
            <w:r>
              <w:rPr>
                <w:rFonts w:eastAsia="Arial" w:cs="Times New Roman"/>
                <w:b/>
                <w:bCs/>
                <w:sz w:val="14"/>
                <w:szCs w:val="14"/>
              </w:rPr>
            </w:r>
          </w:p>
        </w:tc>
        <w:tc>
          <w:tcPr>
            <w:tcW w:w="1650"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sidRPr="006A0317">
              <w:rPr>
                <w:rFonts w:eastAsia="Arial" w:cs="Times New Roman"/>
                <w:sz w:val="14"/>
                <w:szCs w:val="14"/>
              </w:rPr>
              <w:t>Companies that did not report at least two years of sales and profitability data within the tested period were excluded</w:t>
            </w:r>
          </w:p>
        </w:tc>
        <w:tc>
          <w:tcPr>
            <w:tcW w:w="95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sz w:val="14"/>
                <w:szCs w:val="14"/>
                <w:highlight w:val="yellow"/>
              </w:rPr>
              <w:t>3</w:t>
            </w:r>
            <w:r w:rsidR="00C6115C">
              <w:rPr>
                <w:rFonts w:eastAsia="Arial" w:cs="Times New Roman"/>
                <w:sz w:val="14"/>
                <w:szCs w:val="14"/>
              </w:rPr>
            </w:r>
            <w:r w:rsidR="00C6115C" w:rsidRPr="00C6115C">
              <w:rPr>
                <w:rFonts w:eastAsia="Arial" w:cs="Times New Roman"/>
                <w:sz w:val="14"/>
                <w:szCs w:val="14"/>
              </w:rPr>
            </w:r>
            <w:r w:rsidR="007461AA">
              <w:rPr>
                <w:rFonts w:eastAsia="Arial" w:cs="Times New Roman"/>
                <w:sz w:val="14"/>
                <w:szCs w:val="14"/>
              </w:rPr>
            </w:r>
          </w:p>
        </w:tc>
        <w:tc>
          <w:tcPr>
            <w:tcW w:w="1241"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sz w:val="14"/>
                <w:szCs w:val="14"/>
                <w:highlight w:val="yellow"/>
              </w:rPr>
              <w:t>30</w:t>
            </w:r>
            <w:r w:rsidR="006A0317" w:rsidRPr="006A0317">
              <w:rPr>
                <w:rFonts w:eastAsia="Arial" w:cs="Times New Roman"/>
                <w:sz w:val="14"/>
                <w:szCs w:val="14"/>
              </w:rPr>
            </w:r>
            <w:r w:rsidR="007461AA">
              <w:rPr>
                <w:rFonts w:eastAsia="Arial" w:cs="Times New Roman"/>
                <w:sz w:val="14"/>
                <w:szCs w:val="14"/>
              </w:rPr>
            </w:r>
          </w:p>
        </w:tc>
      </w:tr>
      <w:tr w:rsidR="000C154C" w:rsidRPr="006A0317" w14:paraId="1CF0E059" w14:textId="77777777" w:rsidTr="00EC53B6">
        <w:trPr>
          <w:trHeight w:val="402"/>
          <w:jc w:val="center"/>
          <w:cantSplit/>
        </w:trPr>
        <w:tc>
          <w:tcPr>
            <w:tcW w:w="1157"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keepNext/>
            </w:pPr>
            <w:r>
              <w:rPr>
                <w:b/>
                <w:bCs/>
                <w:sz w:val="14"/>
                <w:szCs w:val="14"/>
                <w:highlight w:val="yellow"/>
              </w:rPr>
              <w:t>Losses Screen</w:t>
            </w:r>
          </w:p>
        </w:tc>
        <w:tc>
          <w:tcPr>
            <w:tcW w:w="1650"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95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keepNext/>
            </w:pPr>
            <w:r>
              <w:rPr>
                <w:sz w:val="14"/>
                <w:szCs w:val="14"/>
                <w:highlight w:val="yellow"/>
              </w:rPr>
              <w:t>2</w:t>
            </w:r>
            <w:r w:rsidR="00C6115C">
              <w:rPr>
                <w:rFonts w:eastAsia="Arial" w:cs="Times New Roman"/>
                <w:sz w:val="14"/>
                <w:szCs w:val="14"/>
              </w:rPr>
            </w:r>
            <w:r w:rsidR="00C6115C" w:rsidRPr="00C6115C">
              <w:rPr>
                <w:rFonts w:eastAsia="Arial" w:cs="Times New Roman"/>
                <w:sz w:val="14"/>
                <w:szCs w:val="14"/>
              </w:rPr>
            </w:r>
            <w:r w:rsidR="00A639C9">
              <w:rPr>
                <w:rFonts w:eastAsia="Arial" w:cs="Times New Roman"/>
                <w:sz w:val="14"/>
                <w:szCs w:val="14"/>
              </w:rPr>
            </w:r>
            <w:r w:rsidR="007461AA">
              <w:rPr>
                <w:rFonts w:eastAsia="Arial" w:cs="Times New Roman"/>
                <w:sz w:val="14"/>
                <w:szCs w:val="14"/>
              </w:rPr>
            </w:r>
          </w:p>
        </w:tc>
        <w:tc>
          <w:tcPr>
            <w:tcW w:w="1241"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keepNext/>
            </w:pPr>
            <w:r>
              <w:rPr>
                <w:sz w:val="14"/>
                <w:szCs w:val="14"/>
                <w:highlight w:val="yellow"/>
              </w:rPr>
              <w:t>28</w:t>
            </w:r>
            <w:r w:rsidR="006A0317" w:rsidRPr="006A0317">
              <w:rPr>
                <w:rFonts w:eastAsia="Arial" w:cs="Times New Roman"/>
                <w:sz w:val="14"/>
                <w:szCs w:val="14"/>
              </w:rPr>
            </w:r>
            <w:r w:rsidR="007461AA">
              <w:rPr>
                <w:rFonts w:eastAsia="Arial" w:cs="Times New Roman"/>
                <w:sz w:val="14"/>
                <w:szCs w:val="14"/>
              </w:rPr>
            </w:r>
          </w:p>
        </w:tc>
      </w:tr>
      <w:tr w:rsidR="000C154C" w:rsidRPr="006A0317" w14:paraId="40846E3F" w14:textId="77777777" w:rsidTr="00EC53B6">
        <w:trPr>
          <w:trHeight w:val="402"/>
          <w:jc w:val="center"/>
          <w:cantSplit/>
        </w:trPr>
        <w:tc>
          <w:tcPr>
            <w:tcW w:w="1157" w:type="pct"/>
            <w:vAlign w:val="center"/>
          </w:tcPr>
          <w:p w14:paraId="1E71BAA0" w14:textId="7D47373E" w:rsidR="00557C2F" w:rsidRPr="006A0317" w:rsidRDefault="00B62FDF" w:rsidP="000C15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r>
              <w:rPr>
                <w:b/>
                <w:bCs/>
                <w:sz w:val="14"/>
                <w:szCs w:val="14"/>
                <w:highlight w:val="yellow"/>
              </w:rPr>
              <w:t>Inventories / Revenue</w:t>
            </w:r>
            <w:r w:rsidR="00A552A1">
              <w:rPr>
                <w:rFonts w:eastAsia="Arial" w:cs="Times New Roman"/>
                <w:b/>
                <w:bCs/>
                <w:sz w:val="14"/>
                <w:szCs w:val="14"/>
              </w:rPr>
            </w:r>
            <w:r w:rsidR="00A639C9">
              <w:rPr>
                <w:rFonts w:eastAsia="Arial" w:cs="Times New Roman"/>
                <w:b/>
                <w:bCs/>
                <w:sz w:val="14"/>
                <w:szCs w:val="14"/>
              </w:rPr>
            </w:r>
            <w:r w:rsidR="00A552A1">
              <w:rPr>
                <w:rFonts w:eastAsia="Arial" w:cs="Times New Roman"/>
                <w:b/>
                <w:bCs/>
                <w:sz w:val="14"/>
                <w:szCs w:val="14"/>
              </w:rPr>
            </w:r>
            <w:r w:rsidR="007461AA">
              <w:rPr>
                <w:rFonts w:eastAsia="Arial" w:cs="Times New Roman"/>
                <w:b/>
                <w:bCs/>
                <w:sz w:val="14"/>
                <w:szCs w:val="14"/>
              </w:rPr>
            </w:r>
          </w:p>
        </w:tc>
        <w:tc>
          <w:tcPr>
            <w:tcW w:w="1650" w:type="pct"/>
            <w:vAlign w:val="center"/>
          </w:tcPr>
          <w:p w14:paraId="0C113D22" w14:textId="42EA2292"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sz w:val="14"/>
                <w:szCs w:val="14"/>
              </w:rPr>
              <w:t xml:space="preserve">Companies with a ratio of more than </w:t>
            </w:r>
            <w:r w:rsidR="00B62FDF">
              <w:rPr>
                <w:rFonts w:eastAsia="Arial" w:cs="Times New Roman"/>
                <w:sz w:val="14"/>
                <w:szCs w:val="14"/>
              </w:rPr>
            </w:r>
            <w:r w:rsidR="00A552A1" w:rsidRPr="00A552A1">
              <w:rPr>
                <w:rFonts w:eastAsia="Arial" w:cs="Times New Roman"/>
                <w:sz w:val="14"/>
                <w:szCs w:val="14"/>
              </w:rPr>
            </w:r>
            <w:r w:rsidR="00A639C9">
              <w:rPr>
                <w:rFonts w:eastAsia="Arial" w:cs="Times New Roman"/>
                <w:sz w:val="14"/>
                <w:szCs w:val="14"/>
              </w:rPr>
            </w:r>
            <w:r w:rsidR="00A552A1" w:rsidRPr="00A552A1">
              <w:rPr>
                <w:rFonts w:eastAsia="Arial" w:cs="Times New Roman"/>
                <w:sz w:val="14"/>
                <w:szCs w:val="14"/>
              </w:rPr>
            </w:r>
            <w:r w:rsidR="00F56747" w:rsidRPr="006A0317">
              <w:rPr>
                <w:rFonts w:eastAsia="Arial" w:cs="Times New Roman"/>
                <w:sz w:val="14"/>
                <w:szCs w:val="14"/>
              </w:rPr>
            </w:r>
            <w:r w:rsidR="007461AA">
              <w:rPr>
                <w:rFonts w:eastAsia="Arial" w:cs="Times New Roman"/>
                <w:sz w:val="14"/>
                <w:szCs w:val="14"/>
              </w:rPr>
            </w:r>
            <w:r w:rsidRPr="006A0317">
              <w:rPr>
                <w:rFonts w:eastAsia="Arial" w:cs="Times New Roman"/>
                <w:sz w:val="14"/>
                <w:szCs w:val="14"/>
              </w:rPr>
            </w:r>
            <w:r>
              <w:rPr>
                <w:sz w:val="14"/>
                <w:highlight w:val="yellow"/>
              </w:rPr>
              <w:t>25%</w:t>
            </w:r>
            <w:r>
              <w:rPr>
                <w:sz w:val="14"/>
              </w:rPr>
              <w:t xml:space="preserve"> were rejected.</w:t>
            </w:r>
          </w:p>
        </w:tc>
        <w:tc>
          <w:tcPr>
            <w:tcW w:w="952" w:type="pct"/>
            <w:vAlign w:val="center"/>
          </w:tcPr>
          <w:p w14:paraId="4A268865" w14:textId="6D130CF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r>
              <w:rPr>
                <w:sz w:val="14"/>
                <w:szCs w:val="14"/>
                <w:highlight w:val="yellow"/>
              </w:rPr>
              <w:t>7</w:t>
            </w:r>
            <w:r w:rsidR="00C6115C" w:rsidRPr="00C6115C">
              <w:rPr>
                <w:rFonts w:eastAsia="Arial" w:cs="Times New Roman"/>
                <w:sz w:val="14"/>
                <w:szCs w:val="14"/>
              </w:rPr>
            </w:r>
            <w:r w:rsidR="00C6115C">
              <w:rPr>
                <w:rFonts w:eastAsia="Arial" w:cs="Times New Roman"/>
                <w:sz w:val="14"/>
                <w:szCs w:val="14"/>
              </w:rPr>
            </w:r>
            <w:r w:rsidR="007461AA">
              <w:rPr>
                <w:rFonts w:eastAsia="Arial" w:cs="Times New Roman"/>
                <w:sz w:val="14"/>
                <w:szCs w:val="14"/>
              </w:rPr>
            </w:r>
          </w:p>
        </w:tc>
        <w:tc>
          <w:tcPr>
            <w:tcW w:w="1241" w:type="pct"/>
            <w:vAlign w:val="center"/>
          </w:tcPr>
          <w:p w14:paraId="434B72EB" w14:textId="2B6B90C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sz w:val="14"/>
                <w:szCs w:val="14"/>
                <w:highlight w:val="yellow"/>
              </w:rPr>
              <w:t>21</w:t>
            </w:r>
            <w:r w:rsidR="006A0317" w:rsidRPr="006A0317">
              <w:rPr>
                <w:rFonts w:eastAsia="Arial" w:cs="Times New Roman"/>
                <w:sz w:val="14"/>
                <w:szCs w:val="14"/>
              </w:rPr>
            </w:r>
            <w:r w:rsidR="007461AA">
              <w:rPr>
                <w:rFonts w:eastAsia="Arial" w:cs="Times New Roman"/>
                <w:sz w:val="14"/>
                <w:szCs w:val="14"/>
              </w:rPr>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 xml:space="preserve">We reviewed business descriptions, websites, and annual reports of the potential comparables. In this stage, </w:t>
      </w:r>
      <w:r w:rsidR="001E1F18">
        <w:rPr>
          <w:lang w:val="en-GB"/>
        </w:rPr>
      </w:r>
      <w:r w:rsidRPr="00D75AC6">
        <w:rPr>
          <w:lang w:val="en-GB"/>
        </w:rPr>
      </w:r>
      <w:r w:rsidR="00B62FDF">
        <w:rPr>
          <w:lang w:val="en-GB"/>
        </w:rPr>
      </w:r>
      <w:r w:rsidR="00CF2E00">
        <w:rPr>
          <w:lang w:val="en-GB"/>
        </w:rPr>
      </w:r>
      <w:r w:rsidR="00CF2E00" w:rsidRPr="00CF2E00">
        <w:rPr>
          <w:lang w:val="en-GB"/>
        </w:rPr>
      </w:r>
      <w:r w:rsidR="00CF2E00">
        <w:rPr>
          <w:lang w:val="en-GB"/>
        </w:rPr>
      </w:r>
      <w:r w:rsidR="00CF2E00" w:rsidRPr="00CF2E00">
        <w:rPr>
          <w:lang w:val="en-GB"/>
        </w:rPr>
      </w:r>
      <w:r w:rsidR="00CF2E00">
        <w:rPr>
          <w:lang w:val="en-GB"/>
        </w:rPr>
      </w:r>
      <w:r w:rsidR="007461AA">
        <w:rPr>
          <w:lang w:val="en-GB"/>
        </w:rPr>
      </w:r>
      <w:r w:rsidRPr="00DB6172">
        <w:rPr>
          <w:lang w:val="en-GB"/>
        </w:rPr>
      </w:r>
      <w:r w:rsidRPr="00D75AC6">
        <w:rPr>
          <w:lang w:val="en-GB"/>
        </w:rPr>
      </w:r>
      <w:r>
        <w:rPr>
          <w:highlight w:val="yellow"/>
        </w:rPr>
        <w:t>12</w:t>
      </w:r>
      <w:r>
        <w:rPr/>
        <w:t xml:space="preserve"> additional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r w:rsidR="00B62FDF">
        <w:rPr>
          <w:lang w:val="en-GB"/>
        </w:rPr>
      </w:r>
      <w:r w:rsidR="00CF2E00">
        <w:rPr>
          <w:lang w:val="en-GB"/>
        </w:rPr>
      </w:r>
      <w:r w:rsidR="007461AA">
        <w:rPr>
          <w:lang w:val="en-GB"/>
        </w:rPr>
      </w:r>
      <w:r w:rsidRPr="008505A9">
        <w:rPr>
          <w:lang w:val="en-GB"/>
        </w:rPr>
      </w:r>
      <w:r>
        <w:rPr>
          <w:highlight w:val="yellow"/>
        </w:rPr>
        <w:t>9</w:t>
      </w:r>
      <w:r>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commentRangeStart w:id="6"/>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commentRangeEnd w:id="6"/>
      <w:r w:rsidR="008E5D0E" w:rsidRPr="00B31664">
        <w:rPr>
          <w:rStyle w:val="CommentReference"/>
          <w:rFonts w:cstheme="majorBidi"/>
          <w:color w:val="000000" w:themeColor="text1"/>
          <w:sz w:val="20"/>
          <w:szCs w:val="20"/>
        </w:rPr>
        <w:commentReference w:id="6"/>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b/>
                <w:bCs/>
                <w:color w:val="FFFFFF"/>
                <w:sz w:val="18"/>
                <w:szCs w:val="18"/>
              </w:rPr>
              <w:t xml:space="preserve">Weighted Average </w:t>
            </w:r>
            <w:r w:rsidR="00450475">
              <w:rPr>
                <w:rFonts w:eastAsia="Times New Roman" w:cs="Times New Roman"/>
                <w:b/>
                <w:bCs/>
                <w:color w:val="FFFFFF"/>
                <w:sz w:val="18"/>
                <w:szCs w:val="18"/>
              </w:rPr>
            </w:r>
            <w:r>
              <w:rPr>
                <w:b/>
                <w:color w:val="FFFFFF"/>
                <w:sz w:val="18"/>
                <w:highlight w:val="yellow"/>
              </w:rPr>
              <w:t>OM</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2022</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2023</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r>
              <w:rPr>
                <w:b/>
                <w:bCs/>
                <w:color w:val="FFFFFF"/>
                <w:sz w:val="18"/>
                <w:szCs w:val="18"/>
                <w:highlight w:val="yellow"/>
              </w:rPr>
              <w:t>2024</w:t>
            </w:r>
            <w:r w:rsidR="00CF2E00">
              <w:rPr>
                <w:rFonts w:eastAsia="Times New Roman" w:cs="Times New Roman"/>
                <w:b/>
                <w:bCs/>
                <w:color w:val="FFFFFF"/>
                <w:sz w:val="18"/>
                <w:szCs w:val="18"/>
              </w:rPr>
            </w:r>
            <w:r w:rsidR="007461AA">
              <w:rPr>
                <w:rFonts w:eastAsia="Times New Roman" w:cs="Times New Roman"/>
                <w:b/>
                <w:bCs/>
                <w:color w:val="FFFFFF"/>
                <w:sz w:val="18"/>
                <w:szCs w:val="18"/>
              </w:rPr>
            </w:r>
            <w:r w:rsidR="008444BB">
              <w:rPr>
                <w:rFonts w:eastAsia="Times New Roman" w:cs="Times New Roman"/>
                <w:b/>
                <w:bCs/>
                <w:color w:val="FFFFFF"/>
                <w:sz w:val="18"/>
                <w:szCs w:val="18"/>
              </w:rPr>
            </w:r>
            <w:r w:rsidR="00450475">
              <w:rPr>
                <w:rFonts w:eastAsia="Times New Roman" w:cs="Times New Roman"/>
                <w:b/>
                <w:bCs/>
                <w:color w:val="FFFFFF"/>
                <w:sz w:val="18"/>
                <w:szCs w:val="18"/>
              </w:rPr>
            </w:r>
            <w:r>
              <w:rPr>
                <w:b/>
                <w:color w:val="FFFFFF"/>
                <w:sz w:val="18"/>
              </w:rPr>
              <w:t xml:space="preserve"> </w:t>
            </w:r>
            <w:r>
              <w:rPr>
                <w:b/>
                <w:color w:val="FFFFFF"/>
                <w:sz w:val="18"/>
                <w:highlight w:val="yellow"/>
              </w:rPr>
              <w:t>OM</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1</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BRCK GROUP PLC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Kingdom</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5.5%</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3.9%</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3.6%</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4.3%</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2</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GRAFTON GROUP PLC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Ireland</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10.5%</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7.0%</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5.6%</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7.7%</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3</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HEADLAM GROUP PLC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Kingdom</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5.6%</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-7.2%</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0.0%</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4</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JAMES LATHAM PLC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Kingdom</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10.7%</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4.0%</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6.9%</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5</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NORDWEST HANDEL AG</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Germany</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2.2%</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1.4%</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2.2%</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1.9%</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6</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SIG PLC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Kingdom</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2.6%</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-0.1%</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1.1%</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7</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SIPEX COMPANY SA</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Romania</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8.0%</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2.8%</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4.4%</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8</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TOPPS TILES PLC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Kingdom</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6.1%</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3.8%</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10.0%</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6.6%</w:t>
            </w: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r>
              <w:rPr>
                <w:color w:val="000000"/>
                <w:sz w:val="18"/>
                <w:szCs w:val="18"/>
                <w:highlight w:val="yellow"/>
              </w:rPr>
              <w:t>9</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r>
              <w:rPr>
                <w:color w:val="000000"/>
                <w:sz w:val="18"/>
                <w:szCs w:val="18"/>
                <w:highlight w:val="yellow"/>
              </w:rPr>
              <w:t>TRAVIS PERKINS PLC</w:t>
            </w:r>
            <w:r>
              <w:rPr>
                <w:lang w:val="en-CA" w:bidi="ar-SA"/>
              </w:rPr>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r>
              <w:rPr>
                <w:color w:val="000000"/>
                <w:sz w:val="18"/>
                <w:szCs w:val="18"/>
                <w:highlight w:val="yellow"/>
              </w:rPr>
              <w:t>United Kingdom</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5.3%</w:t>
            </w:r>
            <w:r>
              <w:rPr>
                <w:lang w:val="en-CA" w:bidi="ar-SA"/>
              </w:rPr>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2.3%</w:t>
            </w:r>
            <w:r>
              <w:rPr>
                <w:lang w:val="en-CA" w:bidi="ar-SA"/>
              </w:rPr>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1.6%</w:t>
            </w:r>
            <w:r>
              <w:rPr>
                <w:lang w:val="en-CA" w:bidi="ar-SA"/>
              </w:rPr>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r>
              <w:rPr>
                <w:color w:val="000000"/>
                <w:sz w:val="18"/>
                <w:szCs w:val="18"/>
                <w:highlight w:val="yellow"/>
              </w:rPr>
              <w:t>3.1%</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EC53B6">
        <w:trPr>
          <w:trHeight w:val="51"/>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r>
              <w:rPr>
                <w:color w:val="000000"/>
                <w:sz w:val="18"/>
                <w:szCs w:val="18"/>
                <w:highlight w:val="yellow"/>
              </w:rPr>
              <w:t>0.0%</w:t>
            </w:r>
            <w:r w:rsidR="00BF39DA">
              <w:rPr>
                <w:rFonts w:eastAsia="Times New Roman" w:cs="Arial"/>
                <w:color w:val="000000" w:themeColor="text1"/>
                <w:sz w:val="18"/>
                <w:szCs w:val="18"/>
              </w:rPr>
            </w:r>
            <w:r w:rsidR="00C101FE">
              <w:rPr>
                <w:rFonts w:eastAsia="Times New Roman" w:cs="Arial"/>
                <w:color w:val="000000" w:themeColor="text1"/>
                <w:sz w:val="18"/>
                <w:szCs w:val="18"/>
              </w:rPr>
            </w:r>
            <w:r>
              <w:rPr>
                <w:rFonts w:eastAsia="Times New Roman" w:cs="Arial"/>
                <w:color w:val="000000" w:themeColor="text1"/>
                <w:sz w:val="18"/>
                <w:szCs w:val="18"/>
              </w:rPr>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1.9%</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4.3%</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r>
              <w:rPr>
                <w:b/>
                <w:bCs/>
                <w:color w:val="000000"/>
                <w:sz w:val="18"/>
                <w:szCs w:val="18"/>
                <w:highlight w:val="yellow"/>
              </w:rPr>
              <w:t>6.6%</w:t>
            </w:r>
            <w:r>
              <w:rPr>
                <w:rFonts w:eastAsia="Times New Roman" w:cs="Arial"/>
                <w:b/>
                <w:bCs/>
                <w:color w:val="000000"/>
                <w:sz w:val="18"/>
                <w:szCs w:val="18"/>
              </w:rPr>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r>
              <w:rPr>
                <w:color w:val="000000"/>
                <w:sz w:val="18"/>
                <w:szCs w:val="18"/>
                <w:highlight w:val="yellow"/>
              </w:rPr>
              <w:t>7.7%</w:t>
            </w:r>
          </w:p>
        </w:tc>
      </w:tr>
    </w:tbl>
    <w:p w14:paraId="3F3B4997" w14:textId="607C6A20" w:rsidR="00FB5B76" w:rsidRDefault="00ED179A" w:rsidP="00445B40">
      <w:pPr>
        <w:pStyle w:val="1"/>
        <w:numPr>
          <w:ilvl w:val="0"/>
          <w:numId w:val="0"/>
        </w:numPr>
        <w:rPr>
          <w:rFonts w:ascii="Univers 45 Light" w:hAnsi="Univers 45 Light"/>
          <w:color w:val="00338D"/>
          <w:sz w:val="22"/>
          <w:szCs w:val="22"/>
        </w:rPr>
      </w:pPr>
      <w:commentRangeStart w:id="7"/>
      <w:r w:rsidRPr="00ED179A">
        <w:rPr>
          <w:rFonts w:ascii="Univers 45 Light" w:hAnsi="Univers 45 Light"/>
          <w:color w:val="00338D"/>
          <w:sz w:val="22"/>
          <w:szCs w:val="22"/>
        </w:rPr>
        <w:t>Business Descriptions of Comparable Companies</w:t>
      </w:r>
      <w:commentRangeEnd w:id="7"/>
      <w:r w:rsidR="008E5D0E">
        <w:rPr>
          <w:rStyle w:val="CommentReference"/>
          <w:rFonts w:ascii="Univers 45 Light" w:hAnsi="Univers 45 Light"/>
          <w:color w:val="00338D"/>
          <w:sz w:val="22"/>
          <w:szCs w:val="22"/>
        </w:rPr>
        <w:commentReference w:id="7"/>
      </w:r>
    </w:p>
    <w:p w14:paraId="372D025D" w14:textId="0D184BFE" w:rsidR="00445B40" w:rsidRPr="00445B40" w:rsidRDefault="00445B40" w:rsidP="00445B40">
      <w:pPr>
        <w:spacing w:before="0" w:after="120" w:line="240" w:lineRule="auto"/>
        <w:jc w:val="left"/>
        <w:rPr>
          <w:rFonts w:eastAsia="Times New Roman" w:cs="Times New Roman"/>
          <w:b/>
          <w:bCs/>
          <w:color w:val="000000"/>
          <w:sz w:val="18"/>
          <w:szCs w:val="18"/>
        </w:rPr>
      </w:pPr>
      <w:r>
        <w:rPr>
          <w:rFonts w:eastAsia="Times New Roman" w:cs="Times New Roman"/>
          <w:b/>
          <w:bCs/>
          <w:color w:val="000000"/>
          <w:sz w:val="22"/>
          <w:szCs w:val="18"/>
          <w:highlight w:val="yellow"/>
        </w:rPr>
        <w:t>BRCK GROUP PLC</w:t>
      </w:r>
    </w:p>
    <w:p>
      <w:pPr>
        <w:spacing w:before="0" w:after="120" w:line="240" w:lineRule="auto"/>
      </w:pPr>
      <w:r>
        <w:rPr>
          <w:b w:val="0"/>
          <w:sz w:val="22"/>
          <w:highlight w:val="yellow"/>
        </w:rPr>
        <w:t>BRCK Group plc, together with its subsidiaries, distributes specialist products and services to the construction industry in the United Kingdom.It operates through four segments: Bricks and Building Materials; Importing; Distribution; and Contracting. The company offers bricks, blocks, cladding systems, roofing, radiators, tiles, doors and windows, AS WELL AS stone, EV chargers, and solar PV products; and operates as an installer of materials from UK and European manufacturing partners. It also provides contracting services, including fire strategy cladding remediation and commercial re-roofing; and supplies and installs traditional slate, tile and metal roofing and flooring. The company serves construction industry, including house builders, developers, contractors, general builders, and retail. The company was formerly known as Brickability Group Plc and change its name to BRCK Group plc in February 2026. BRCK Group plc was incorporated in 1985 and is headquartered in Bracknell, the United Kingdom.</w:t>
      </w:r>
    </w:p>
    <w:p>
      <w:pPr>
        <w:spacing w:before="0" w:after="120" w:line="240" w:lineRule="auto"/>
      </w:pPr>
    </w:p>
    <w:p>
      <w:pPr>
        <w:spacing w:before="0" w:after="120" w:line="240" w:lineRule="auto"/>
      </w:pPr>
      <w:r>
        <w:rPr>
          <w:b/>
          <w:sz w:val="22"/>
          <w:highlight w:val="yellow"/>
        </w:rPr>
        <w:t>GRAFTON GROUP PLC</w:t>
      </w:r>
    </w:p>
    <w:p>
      <w:pPr>
        <w:spacing w:before="0" w:after="120" w:line="240" w:lineRule="auto"/>
      </w:pPr>
      <w:r>
        <w:rPr>
          <w:b w:val="0"/>
          <w:sz w:val="22"/>
          <w:highlight w:val="yellow"/>
        </w:rPr>
        <w:t>Grafton Group plc distributes and sells building materials and construction related products in Ireland, the United Kingdom, Ireland, the Netherlands, Finland, and Spain. The company provides tools, ironmongery and accessories; distributes materials and plant for mechanical services, heating, plumbing and air movement; and distributes workwear and personal protective equipment (PPE), tools, spare parts and accessories; air conditioning, ventilation, heating and refrigeration products under the Selco, Leyland SDM, Chadwicks, MacBlair, Isero, Polvo, Gunters en Meuser, TG Lynes, IKH, and Salvador Escoda brands. It also offers DIY products, paints, lighting, homestyle, housewares, bathroom products, and kitchens, as well as gardening and Christmas products under the Woodie's brand. Further, it manufactures and distributes dry mortars and wooden staircases and windows under the CPI Mortar and StairBox brands. The company was founded in 1902 and is headquartered in Dublin, Ireland.</w:t>
      </w:r>
    </w:p>
    <w:p>
      <w:pPr>
        <w:spacing w:before="0" w:after="120" w:line="240" w:lineRule="auto"/>
      </w:pPr>
    </w:p>
    <w:p>
      <w:pPr>
        <w:spacing w:before="0" w:after="120" w:line="240" w:lineRule="auto"/>
      </w:pPr>
      <w:r>
        <w:rPr>
          <w:b/>
          <w:sz w:val="22"/>
          <w:highlight w:val="yellow"/>
        </w:rPr>
        <w:t>HEADLAM GROUP PLC</w:t>
      </w:r>
    </w:p>
    <w:p>
      <w:pPr>
        <w:spacing w:before="0" w:after="120" w:line="240" w:lineRule="auto"/>
      </w:pPr>
      <w:r>
        <w:rPr>
          <w:b w:val="0"/>
          <w:sz w:val="22"/>
          <w:highlight w:val="yellow"/>
        </w:rPr>
        <w:t>Headlam Group plc, together with its subsidiaries, engages in the sale, marketing, supply, and distribution of floorcovering and other ancillary products in the United Kingdom and Continental Europe. It offers its products to independent and multiple retailers, small and large contractors, and housebuilders. The company was incorporated in 1948 and is based in Birmingham, the United Kingdom.</w:t>
      </w:r>
    </w:p>
    <w:p>
      <w:pPr>
        <w:spacing w:before="0" w:after="120" w:line="240" w:lineRule="auto"/>
      </w:pPr>
    </w:p>
    <w:p>
      <w:pPr>
        <w:spacing w:before="0" w:after="120" w:line="240" w:lineRule="auto"/>
      </w:pPr>
      <w:r>
        <w:rPr>
          <w:b/>
          <w:sz w:val="22"/>
          <w:highlight w:val="yellow"/>
        </w:rPr>
        <w:t>JAMES LATHAM PLC</w:t>
      </w:r>
    </w:p>
    <w:p>
      <w:pPr>
        <w:spacing w:before="0" w:after="120" w:line="240" w:lineRule="auto"/>
      </w:pPr>
      <w:r>
        <w:rPr>
          <w:b w:val="0"/>
          <w:sz w:val="22"/>
          <w:highlight w:val="yellow"/>
        </w:rPr>
        <w:t>James Latham plc, together with its subsidiaries, distributes timbers, panels, and decorative panels in the United Kingdom, the Republic of Ireland, rest of Europe, and internationally. The company offers melamine, veneer, laminates, washroom collection, solid surface products, door blanks, plastics, hardwoods, softwoods, engineered timber products, decking and timber cladding products, solid wood worktops, modified timbers and panels, fire retardant and advanced technical panels, and treatments, as well as architectural moldings and components. It serves construction/housing, retail, transport, exhibition, and other sectors. The company was founded in 1757 and is based in Hemel Hempstead, the United Kingdom.</w:t>
      </w:r>
    </w:p>
    <w:p>
      <w:pPr>
        <w:spacing w:before="0" w:after="120" w:line="240" w:lineRule="auto"/>
      </w:pPr>
    </w:p>
    <w:p>
      <w:pPr>
        <w:spacing w:before="0" w:after="120" w:line="240" w:lineRule="auto"/>
      </w:pPr>
      <w:r>
        <w:rPr>
          <w:b/>
          <w:sz w:val="22"/>
          <w:highlight w:val="yellow"/>
        </w:rPr>
        <w:t>NORDWEST HANDEL AG</w:t>
      </w:r>
    </w:p>
    <w:p>
      <w:pPr>
        <w:spacing w:before="0" w:after="120" w:line="240" w:lineRule="auto"/>
      </w:pPr>
      <w:r>
        <w:rPr>
          <w:b w:val="0"/>
          <w:sz w:val="22"/>
          <w:highlight w:val="yellow"/>
        </w:rPr>
        <w:t>Nordwest Handel AG provides procurement, logistics, and sales services. The company offers smoke protection, garage, house, interior wooden, metal, and security doors; industrial gates, residential roof windows, awnings, meshes, and stairs. It provides loppers, handles, mixers, steel nails, buckets and tubs, gardening and landscaping, construction tools, shovels, wheelbarrows, hedge clippers, shredders, building site, tar, asphalt, and forestry equipment; and surveying technology related products; safe locks, access control, cylinders, electrical door opener, furniture and skylight fittings; railing, shelving, automatic door, and escape route safety system; door and gate fittings, ventilation, door locking, and window technology door products. In addition, the company provides fastening chemicals, dowels, wood and chipboard screws, and heavy load fastening; and steel products. Further, it offers head, eye, respiratory protection, and ear defenders, protective footwear, work and protective clothing, first aid equipment, environmental and heat protection, skin protection, cleaning and care, personal protective equipment and hand protection products; gardening and landscaping, laser measuring systems, cleaning devices, generators, woodworking, compressed air tools, metal processing, cordless, and power tools; drilling, milling, threading, indexable insert, supplementary machining, and threading tools; and countersinking tools. Additionally, the company provides angle finders, stopwatches, folding rules, spirit levels, tape measures, abrasive paper, fabric/sanding belts; diamond cutting, fan-type, non-woven, cutting and roughening discs, engineer files, key and diamond files, machine, and hand brushes, and marketing services. It sells its products under the Promat and Delphis brands. The company was founded in 1919 and is headquartered in Dortmund, Germany. Nordwest Handel AG operates as a subsidiary of Dr. Helmut Rothenberger Holding GmbH.</w:t>
      </w:r>
    </w:p>
    <w:p>
      <w:pPr>
        <w:spacing w:before="0" w:after="120" w:line="240" w:lineRule="auto"/>
      </w:pPr>
    </w:p>
    <w:p>
      <w:pPr>
        <w:spacing w:before="0" w:after="120" w:line="240" w:lineRule="auto"/>
      </w:pPr>
      <w:r>
        <w:rPr>
          <w:b/>
          <w:sz w:val="22"/>
          <w:highlight w:val="yellow"/>
        </w:rPr>
        <w:t>SIG PLC</w:t>
      </w:r>
    </w:p>
    <w:p>
      <w:pPr>
        <w:spacing w:before="0" w:after="120" w:line="240" w:lineRule="auto"/>
      </w:pPr>
      <w:r>
        <w:rPr>
          <w:b w:val="0"/>
          <w:sz w:val="22"/>
          <w:highlight w:val="yellow"/>
        </w:rPr>
        <w:t>SIG plc supplies specialist insulation and sustainable construction products and solutions in the United Kingdom, Ireland, France, Germany, Poland, and Benelux. The company offers insulation and interiors products, including structural and technical insulations, construction accessories and fixings, cladding and facade systems, dry lining, ceiling tiles and grids, partition walls and door sets, and floor coverings, as well as tools and fixings, ventilation, access equipment, and safety products. It provides roofing and exterior products, such as tiles, slates, membranes, battens for pitched roofs, single-ply flat roof systems, industrial roofing products, cladding systems, room-in-roof panel systems, and photovoltaic panels, as well as industrial painting, coating, and repair services. It serves developers, specialist contractors, specialist installers, and independent merchants. The company was formerly known as Sheffield Insulations Limited. SIG plc was founded in 1957 and is based in Sheffield, the United Kingdom.</w:t>
      </w:r>
    </w:p>
    <w:p>
      <w:pPr>
        <w:spacing w:before="0" w:after="120" w:line="240" w:lineRule="auto"/>
      </w:pPr>
    </w:p>
    <w:p>
      <w:pPr>
        <w:spacing w:before="0" w:after="120" w:line="240" w:lineRule="auto"/>
      </w:pPr>
      <w:r>
        <w:rPr>
          <w:b/>
          <w:sz w:val="22"/>
          <w:highlight w:val="yellow"/>
        </w:rPr>
        <w:t>SIPEX COMPANY SA</w:t>
      </w:r>
    </w:p>
    <w:p>
      <w:pPr>
        <w:spacing w:before="0" w:after="120" w:line="240" w:lineRule="auto"/>
      </w:pPr>
      <w:r>
        <w:rPr>
          <w:b w:val="0"/>
          <w:sz w:val="22"/>
          <w:highlight w:val="yellow"/>
        </w:rPr>
        <w:t>Sipex Company S.A. engages in the distribution of construction materials and finishes in Romania. The company offers washable paint-dispersions, tools and accessories, roof and floor renovation, masonry, ceramic, and thermo-hydro-sanitary products; lakes and ponds, primers, thermosystem, thermal insulation with mineral wool, polystyrene thermal insulation materials, decorative plasters, coffered ceilings, moldings, metal profiles, polyurethane foams, silicones, and screeds; waterproofing, underfloor heating, retention and purification, and paving and curb systems; parquet and wooden panels, fillers, adhesives, welded mesh, edged panels, concrete, sealants, and repair mortars additives. Sipex Company S.A. was founded in 1997 and is based in Ploiesti, Romania.</w:t>
      </w:r>
    </w:p>
    <w:p>
      <w:pPr>
        <w:spacing w:before="0" w:after="120" w:line="240" w:lineRule="auto"/>
      </w:pPr>
    </w:p>
    <w:p>
      <w:pPr>
        <w:spacing w:before="0" w:after="120" w:line="240" w:lineRule="auto"/>
      </w:pPr>
      <w:r>
        <w:rPr>
          <w:b/>
          <w:sz w:val="22"/>
          <w:highlight w:val="yellow"/>
        </w:rPr>
        <w:t>TOPPS TILES PLC</w:t>
      </w:r>
    </w:p>
    <w:p>
      <w:pPr>
        <w:spacing w:before="0" w:after="120" w:line="240" w:lineRule="auto"/>
      </w:pPr>
      <w:r>
        <w:rPr>
          <w:b w:val="0"/>
          <w:sz w:val="22"/>
          <w:highlight w:val="yellow"/>
        </w:rPr>
        <w:t>Topps Tiles Plc engages in the retail and wholesale distribution of ceramic and porcelain tiles, natural stone, and related products for residential and commercial markets in the United Kingdom. The company engages in property management and investment activities; retail and wholesale of wood flooring products; and sale and distribution of architectural ceramics, as well as offers warehousing services. It also sells its products as an online specialist supplier of tiling-related consumables and equipment. Topps Tiles Plc was founded in 1963 and is headquartered in Leicester, the United Kingdom.</w:t>
      </w:r>
    </w:p>
    <w:p>
      <w:pPr>
        <w:spacing w:before="0" w:after="120" w:line="240" w:lineRule="auto"/>
      </w:pPr>
    </w:p>
    <w:p>
      <w:pPr>
        <w:spacing w:before="0" w:after="120" w:line="240" w:lineRule="auto"/>
      </w:pPr>
      <w:r>
        <w:rPr>
          <w:b/>
          <w:sz w:val="22"/>
          <w:highlight w:val="yellow"/>
        </w:rPr>
        <w:t>TRAVIS PERKINS PLC</w:t>
      </w:r>
    </w:p>
    <w:p>
      <w:pPr>
        <w:spacing w:before="0" w:after="120" w:line="240" w:lineRule="auto"/>
      </w:pPr>
      <w:r>
        <w:rPr>
          <w:b w:val="0"/>
          <w:sz w:val="22"/>
          <w:highlight w:val="yellow"/>
        </w:rPr>
        <w:t>Travis Perkins plc engages in distribution of building material products in the United Kingdom. It operates through Merchanting and Toolstation segments. The company offers tools and building supplies. It also distributes pipeline, insulation, and interior building products; provides managed and hire services; designs and supplies kitchen offer under the Benchmarx; and commercial and industrial heating and cooling solutions. In addition, the company provides specialist civils and drainage solutions; and air-conditioning, refrigeration products, and heat pumps, as well as installation materials. Further, it provides kitchens and joinery products, as well as repair and maintenance management services for social housing landlords. The company markets its products under Travis Perkins, Toolstation, BSS, Keyline, CCF, and TF Solution brands. It sells its products through branches and distribution centres. Travis Perkins plc was founded in 1797 and is headquartered in Northampton, the United Kingdom.</w:t>
      </w:r>
    </w:p>
    <w:p w14:paraId="274AFFBC" w14:textId="0341A864" w:rsidR="00505280" w:rsidRDefault="00ED179A" w:rsidP="00505280">
      <w:pPr>
        <w:pStyle w:val="1"/>
        <w:numPr>
          <w:ilvl w:val="0"/>
          <w:numId w:val="0"/>
        </w:numPr>
        <w:rPr>
          <w:rFonts w:ascii="Univers 45 Light" w:hAnsi="Univers 45 Light"/>
          <w:color w:val="00338D"/>
          <w:sz w:val="22"/>
          <w:szCs w:val="22"/>
        </w:rPr>
      </w:pPr>
      <w:commentRangeStart w:id="8"/>
      <w:r w:rsidRPr="00ED179A">
        <w:rPr>
          <w:rFonts w:ascii="Univers 45 Light" w:hAnsi="Univers 45 Light"/>
          <w:color w:val="00338D"/>
          <w:sz w:val="22"/>
          <w:szCs w:val="22"/>
        </w:rPr>
        <w:lastRenderedPageBreak/>
        <w:t>Financial Information of Comparable Companies</w:t>
      </w:r>
      <w:commentRangeEnd w:id="8"/>
      <w:r w:rsidR="00425E9D">
        <w:rPr>
          <w:rStyle w:val="CommentReference"/>
          <w:rFonts w:ascii="Univers 45 Light" w:hAnsi="Univers 45 Light"/>
          <w:color w:val="00338D"/>
          <w:sz w:val="22"/>
          <w:szCs w:val="22"/>
        </w:rPr>
        <w:commentReference w:id="8"/>
      </w:r>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BRCK GROUP PLC (333452)</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Mar 2022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Mar 2023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Mar 2024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Mar 2025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710.54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819.97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746.53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812.50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793.00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591.97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684.09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613.54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657.30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651.64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118.57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135.88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133.00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155.20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141.36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66.71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73.60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78.17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91.31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81.03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13.22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15.79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19.99</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25.74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20.50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38.52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45.23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34.28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36.38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38.63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164.39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151.16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144.73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156.48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150.79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36.96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41.02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37.69</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46.84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41.85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122.04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103.00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88.71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99.99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97.23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5.52%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3.55%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4.33%</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Econcrete Aqua S.L. (KPMG1544952)</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0.12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0.81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0.72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0.50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0.56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-0.26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-0.06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-3651.17%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3.60%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4.66%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-9.46%</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Econcrete Inc. (KPMG1544953)</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0.80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2.13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2.41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0.33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0.28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0.90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1.42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0.66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0.53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1.21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0.99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0.96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n.a</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0.03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0.16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0.64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0.10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0.02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0.03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0.04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1.03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0.37</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GRAFTON GROUP PLC (101404)</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2,901.61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2,837.85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2,882.77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2,915.99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2,878.87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1,744.74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1,772.57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1,827.18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1,836.70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1,812.15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1,156.87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1,065.28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1,055.59</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1,079.30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1,066.72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645.86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627.00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670.67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710.99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669.55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158.26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141.32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156.60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172.15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156.69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352.75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296.96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228.81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196.15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240.64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316.45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322.78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306.33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346.20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325.10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466.04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481.44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460.60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477.98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473.34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366.77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320.75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336.91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330.91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329.52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10.46%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7.00%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5.58%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7.66%</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HEADLAM GROUP PLC (203025)</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917.55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818.25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816.01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757.79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797.35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585.98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522.69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530.38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514.65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522.57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331.57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295.56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285.64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243.14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274.78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247.27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224.91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239.27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252.47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238.88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28.33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24.91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27.35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29.77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27.34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55.97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45.75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19.02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-42.80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7.32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146.78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131.70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140.25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131.07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134.34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177.25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168.45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167.50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128.70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154.88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171.70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133.38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118.85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119.43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123.89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5.59%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1.05%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-7.21%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0.00%</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JAMES LATHAM PLC (203562)</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Mar 2022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Mar 2023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Mar 2024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Mar 2025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526.40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491.65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460.57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467.57</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473.26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395.74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390.30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377.17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382.16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383.21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130.67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101.35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83.40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85.42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90.06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45.60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43.72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44.24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51.35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46.43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5.64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5.02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5.37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7.05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5.81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79.43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52.61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33.80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27.02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37.81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87.03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80.03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77.39</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80.52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79.31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97.58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83.49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77.94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84.88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82.10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45.69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31.85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26.80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26.94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28.53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10.70%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5.77%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3.96%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6.89%</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NORDWEST HANDEL AG (276793)</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897.77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940.81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744.57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300.02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661.80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804.06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840.16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639.63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190.00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556.60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93.71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100.65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104.94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110.01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105.20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32.59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30.74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33.37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37.63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33.91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2.83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16.49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20.83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19.82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16.64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19.10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252.69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274.99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285.84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294.09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284.97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47.93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44.10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49.79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47.27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156.87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159.77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165.18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152.91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159.29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2.21%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1.42%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2.21%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1.92%</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SIG PLC (208361)</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3,151.20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3,384.11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3,432.11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3,337.05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3,384.42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2,218.11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2,407.41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2,464.33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2,416.99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2,429.58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933.09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976.70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967.78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920.06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954.85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785.12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784.59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797.25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779.00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786.95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105.07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100.00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101.68</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105.03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102.23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42.91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88.78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53.95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27.34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56.69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406.23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411.11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389.27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355.41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385.27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327.69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326.05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330.04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317.73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324.61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310.63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348.94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322.65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318.86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330.15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2.62%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0.84%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-0.10%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1.13%</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SIPEX COMPANY SA (353395)</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62.21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68.51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72.23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67.65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57.27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65.46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68.63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63.79</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4.94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3.05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3.60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3.86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5.54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6.37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7.18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6.36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0.69</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0.76</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0.72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4.95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2.66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2.93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3.51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8.66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10.56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10.45</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9.01</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7.41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7.63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8.02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6.61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4.93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5.24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7.95%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2.82%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2.80%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4.39%</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TOPPS TILES PLC (207261)</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Sep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Sep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Sep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30 Sep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311.90</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315.64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321.82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319.13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318.86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96.22</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111.70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121.91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119.73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117.78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215.68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203.94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199.91</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199.40</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201.08</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145.36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146.35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149.29</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153.21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149.62</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36.88</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31.05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29.34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29.13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29.84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24.27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19.24</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14.14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34.64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22.67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2.79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6.85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19.53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10.17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44.23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43.02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44.36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50.73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46.04</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23.55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19.38</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23.74</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38.05</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27.06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6.10%</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3.80%</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10.03%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6.63%</w:t>
            </w:r>
          </w:p>
        </w:tc>
      </w:tr>
    </w:tbl>
    <w:p/>
    <w:p w14:paraId="228FEEF3" w14:textId="06CEB088" w:rsidR="00505280" w:rsidRPr="00505280" w:rsidRDefault="00505280" w:rsidP="00505280">
      <w:pPr>
        <w:pStyle w:val="BodyText4"/>
        <w:rPr>
          <w:rFonts w:ascii="Univers 45 Light" w:hAnsi="Univers 45 Light"/>
          <w:b/>
          <w:bCs/>
          <w:sz w:val="18"/>
          <w:szCs w:val="18"/>
        </w:rPr>
      </w:pPr>
      <w:r>
        <w:rPr>
          <w:rFonts w:ascii="Univers 45 Light" w:hAnsi="Univers 45 Light"/>
          <w:b/>
          <w:bCs/>
          <w:sz w:val="18"/>
          <w:szCs w:val="18"/>
          <w:highlight w:val="yellow"/>
        </w:rPr>
        <w:t>Company Name (Code) : TRAVIS PERKINS PLC (100060)</w:t>
      </w:r>
    </w:p>
    <w:tbl>
      <w:tblPr>
        <w:tblW w:w="9475" w:type="dxa"/>
        <w:tblLook w:val="04A0" w:firstRow="1" w:lastRow="0" w:firstColumn="1" w:lastColumn="0" w:noHBand="0" w:noVBand="1"/>
        <w:bidiVisual w:val="0"/>
        <w:tblLayout w:type="fixed"/>
      </w:tblPr>
      <w:tblGrid>
        <w:gridCol w:w="2600"/>
        <w:gridCol w:w="1375"/>
        <w:gridCol w:w="1375"/>
        <w:gridCol w:w="1375"/>
        <w:gridCol w:w="1375"/>
        <w:gridCol w:w="1375"/>
      </w:tblGrid>
      <w:tr w:rsidR="00032DC4" w:rsidRPr="00AB0250" w14:paraId="6B116C04" w14:textId="77777777" w:rsidTr="00376AB1">
        <w:trPr>
          <w:trHeight w:val="21"/>
          <w:cantSplit/>
        </w:trPr>
        <w:tc>
          <w:tcPr>
            <w:tcW w:w="2600"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keepNext/>
            </w:pPr>
            <w:r w:rsidRPr="00AB0250">
              <w:rPr>
                <w:rFonts w:eastAsia="Times New Roman" w:cs="Times New Roman"/>
                <w:b/>
                <w:bCs/>
                <w:color w:val="FFFFFF"/>
                <w:sz w:val="18"/>
                <w:szCs w:val="18"/>
              </w:rPr>
              <w:t>Year</w:t>
            </w:r>
          </w:p>
        </w:tc>
        <w:tc>
          <w:tcPr>
            <w:tcW w:w="1375"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2021</w:t>
            </w:r>
          </w:p>
        </w:tc>
        <w:tc>
          <w:tcPr>
            <w:tcW w:w="1375"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2022</w:t>
            </w:r>
          </w:p>
        </w:tc>
        <w:tc>
          <w:tcPr>
            <w:tcW w:w="1375"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keepNext/>
            </w:pPr>
            <w:r>
              <w:rPr>
                <w:b/>
                <w:bCs/>
                <w:color w:val="FFFFFF"/>
                <w:sz w:val="18"/>
                <w:szCs w:val="18"/>
                <w:highlight w:val="yellow"/>
              </w:rPr>
              <w:t>2023</w:t>
            </w:r>
          </w:p>
        </w:tc>
        <w:tc>
          <w:tcPr>
            <w:tcW w:w="1375"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keepNext/>
            </w:pPr>
            <w:r>
              <w:rPr>
                <w:rFonts w:eastAsia="Times New Roman" w:cs="Times New Roman"/>
                <w:b/>
                <w:bCs/>
                <w:color w:val="FFFFFF"/>
                <w:sz w:val="18"/>
                <w:szCs w:val="18"/>
                <w:highlight w:val="yellow"/>
              </w:rPr>
              <w:t>2024</w:t>
            </w:r>
          </w:p>
        </w:tc>
        <w:tc>
          <w:tcPr>
            <w:tcW w:w="137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keepNext/>
            </w:pPr>
            <w:r>
              <w:rPr>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Date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31 Dec 2024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Currency Details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USD in M</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Income Statement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Revenue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6,307.76</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6,158.85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6,043.23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5,886.79</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6,029.63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Cost of Goods Sold</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4,274.07</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4,242.32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4,202.26</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4,118.61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4,187.73</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Gross Profit (Loss)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2,033.69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1,916.53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1,840.97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1,768.18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1,841.90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Selling, General and Administrative Expense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1,403.15</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1,402.35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1,401.33</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1,339.01</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1,380.90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Depreciation and Amortization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233.79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209.13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231.82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243.53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228.16</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Operating Income After Depreciation</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412.84</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324.42</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198.25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bCs/>
                <w:color w:val="000000"/>
                <w:sz w:val="18"/>
                <w:szCs w:val="18"/>
                <w:highlight w:val="yellow"/>
              </w:rPr>
              <w:t>169.42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230.70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Balance Sheet</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Simple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Assets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Receivables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910.09</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829.45</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852.55</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851.42</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844.47</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Inventories - Total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980.91</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876.93</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926.82</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811.98</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871.91</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Liabilities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val="0"/>
                <w:bCs/>
                <w:color w:val="000000"/>
                <w:sz w:val="18"/>
                <w:szCs w:val="18"/>
                <w:highlight w:val="yellow"/>
              </w:rPr>
              <w:t xml:space="preserve"> - Accounts Payable - Trade</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869.33</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723.66</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734.09</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t>667.14</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val="0"/>
                <w:sz w:val="18"/>
                <w:highlight w:val="yellow"/>
              </w:rPr>
              <w:t>708.30</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keepNext/>
            </w:pPr>
            <w:r>
              <w:rPr>
                <w:rFonts w:eastAsia="Times New Roman" w:cs="Times New Roman"/>
                <w:b/>
                <w:bCs/>
                <w:color w:val="000000"/>
                <w:sz w:val="18"/>
                <w:szCs w:val="18"/>
                <w:highlight w:val="yellow"/>
              </w:rPr>
              <w:t>PLI Ratios</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keepNext/>
            </w:pPr>
            <w:r>
              <w:rPr>
                <w:rFonts w:eastAsia="Times New Roman" w:cs="Times New Roman"/>
                <w:b w:val="0"/>
                <w:bCs/>
                <w:color w:val="000000"/>
                <w:sz w:val="18"/>
                <w:szCs w:val="18"/>
                <w:highlight w:val="yellow"/>
              </w:rPr>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keepNext/>
            </w:pPr>
            <w:r>
              <w:rPr>
                <w:b/>
                <w:sz w:val="18"/>
                <w:highlight w:val="yellow"/>
              </w:rPr>
              <w:t>Weighted  Average</w:t>
            </w:r>
          </w:p>
        </w:tc>
      </w:tr>
      <w:tr w:rsidR="00032DC4" w:rsidRPr="00AB0250" w14:paraId="136F1595" w14:textId="77777777" w:rsidTr="00376AB1">
        <w:trPr>
          <w:trHeight w:val="21"/>
          <w:cantSplit/>
        </w:trPr>
        <w:tc>
          <w:tcPr>
            <w:tcW w:w="2600"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r>
              <w:rPr>
                <w:rFonts w:eastAsia="Times New Roman" w:cs="Times New Roman"/>
                <w:b w:val="0"/>
                <w:bCs/>
                <w:color w:val="000000"/>
                <w:sz w:val="18"/>
                <w:szCs w:val="18"/>
                <w:highlight w:val="yellow"/>
              </w:rPr>
              <w:t xml:space="preserve">    Operating Margin (Adjusted to Tested Party: Econcrete Aqua S.L.)</w:t>
            </w:r>
            <w:r w:rsidRPr="000661C9">
              <w:rPr>
                <w:rFonts w:eastAsia="Times New Roman" w:cs="Times New Roman"/>
                <w:b/>
                <w:bCs/>
                <w:color w:val="000000"/>
                <w:sz w:val="18"/>
                <w:szCs w:val="18"/>
              </w:rPr>
            </w:r>
            <w:r>
              <w:rPr>
                <w:rFonts w:eastAsia="Times New Roman" w:cs="Times New Roman"/>
                <w:b/>
                <w:bCs/>
                <w:color w:val="000000"/>
                <w:sz w:val="18"/>
                <w:szCs w:val="18"/>
              </w:rPr>
            </w:r>
          </w:p>
        </w:tc>
        <w:tc>
          <w:tcPr>
            <w:tcW w:w="1375"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n.a</w:t>
            </w:r>
          </w:p>
        </w:tc>
        <w:tc>
          <w:tcPr>
            <w:tcW w:w="1375"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5.27%</w:t>
            </w:r>
          </w:p>
        </w:tc>
        <w:tc>
          <w:tcPr>
            <w:tcW w:w="1375"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2.27%</w:t>
            </w:r>
          </w:p>
        </w:tc>
        <w:tc>
          <w:tcPr>
            <w:tcW w:w="1375"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r>
              <w:rPr>
                <w:rFonts w:eastAsia="Times New Roman" w:cs="Times New Roman"/>
                <w:b w:val="0"/>
                <w:bCs/>
                <w:color w:val="000000"/>
                <w:sz w:val="18"/>
                <w:szCs w:val="18"/>
                <w:highlight w:val="yellow"/>
              </w:rPr>
              <w:t>1.63%</w:t>
            </w:r>
          </w:p>
        </w:tc>
        <w:tc>
          <w:tcPr>
            <w:tcW w:w="137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r>
              <w:rPr>
                <w:b w:val="0"/>
                <w:sz w:val="18"/>
                <w:highlight w:val="yellow"/>
              </w:rPr>
              <w:t>3.09%</w:t>
            </w: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 xml:space="preserve">Reasons for Rejection </w:t>
      </w:r>
    </w:p>
    <w:tbl>
      <w:tblPr>
        <w:tblW w:w="8306" w:type="dxa"/>
        <w:tblLook w:val="04A0" w:firstRow="1" w:lastRow="0" w:firstColumn="1" w:lastColumn="0" w:noHBand="0" w:noVBand="1"/>
        <w:bidiVisual w:val="0"/>
        <w:tblLayout w:type="fixed"/>
      </w:tblPr>
      <w:tblGrid>
        <w:gridCol w:w="623"/>
        <w:gridCol w:w="2035"/>
        <w:gridCol w:w="623"/>
        <w:gridCol w:w="1"/>
        <w:gridCol w:w="623"/>
        <w:gridCol w:w="623"/>
        <w:gridCol w:w="623"/>
        <w:gridCol w:w="3155"/>
      </w:tblGrid>
      <w:tr w:rsidR="00611EE3" w:rsidRPr="004922C8" w14:paraId="30DC9523" w14:textId="77777777" w:rsidTr="00C837B1">
        <w:trPr>
          <w:trHeight w:val="288"/>
          <w:tblHeader/>
          <w:cantSplit/>
        </w:trPr>
        <w:tc>
          <w:tcPr>
            <w:tcW w:w="623"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Obs. No.</w:t>
            </w:r>
          </w:p>
        </w:tc>
        <w:tc>
          <w:tcPr>
            <w:tcW w:w="203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Company Name</w:t>
            </w:r>
          </w:p>
        </w:tc>
        <w:tc>
          <w:tcPr>
            <w:tcW w:w="2493" w:type="dxa"/>
            <w:gridSpan w:val="5"/>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Rejected Companies</w:t>
            </w:r>
          </w:p>
        </w:tc>
        <w:tc>
          <w:tcPr>
            <w:tcW w:w="315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Comments</w:t>
            </w:r>
          </w:p>
        </w:tc>
      </w:tr>
      <w:tr w:rsidR="00611EE3" w:rsidRPr="004922C8" w14:paraId="6D4F58EB" w14:textId="77777777" w:rsidTr="00C837B1">
        <w:trPr>
          <w:trHeight w:val="510"/>
          <w:tblHeader/>
          <w:cantSplit/>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2035"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4922C8">
            <w:pPr>
              <w:spacing w:before="0" w:after="0" w:line="240" w:lineRule="auto"/>
              <w:jc w:val="center"/>
              <w:rPr>
                <w:rFonts w:eastAsia="Times New Roman" w:cs="Calibri"/>
                <w:b/>
                <w:bCs/>
                <w:color w:val="FFFFFF"/>
                <w:sz w:val="16"/>
                <w:szCs w:val="16"/>
              </w:rPr>
            </w:pPr>
          </w:p>
        </w:tc>
        <w:tc>
          <w:tcPr>
            <w:tcW w:w="1870" w:type="dxa"/>
            <w:gridSpan w:val="4"/>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Quantitative Screens                       </w:t>
            </w:r>
          </w:p>
        </w:tc>
        <w:tc>
          <w:tcPr>
            <w:tcW w:w="623"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4922C8">
            <w:pPr>
              <w:spacing w:before="0" w:after="0" w:line="240" w:lineRule="auto"/>
              <w:jc w:val="center"/>
              <w:rPr>
                <w:rFonts w:eastAsia="Times New Roman" w:cs="Calibri"/>
                <w:b/>
                <w:bCs/>
                <w:color w:val="FFFFFF"/>
                <w:sz w:val="16"/>
                <w:szCs w:val="16"/>
              </w:rPr>
              <w:keepNext/>
            </w:pPr>
            <w:r w:rsidRPr="004922C8">
              <w:rPr>
                <w:rFonts w:eastAsia="Times New Roman" w:cs="Calibri"/>
                <w:b/>
                <w:bCs/>
                <w:color w:val="FFFFFF"/>
                <w:sz w:val="16"/>
                <w:szCs w:val="16"/>
              </w:rPr>
              <w:t xml:space="preserve">Qualitative Screen </w:t>
            </w:r>
          </w:p>
        </w:tc>
        <w:tc>
          <w:tcPr>
            <w:tcW w:w="3155"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4922C8">
            <w:pPr>
              <w:spacing w:before="0" w:after="0" w:line="240" w:lineRule="auto"/>
              <w:jc w:val="center"/>
              <w:rPr>
                <w:rFonts w:eastAsia="Times New Roman" w:cs="Calibri"/>
                <w:b/>
                <w:bCs/>
                <w:color w:val="FFFFFF"/>
                <w:sz w:val="16"/>
                <w:szCs w:val="16"/>
              </w:rPr>
            </w:pPr>
          </w:p>
        </w:tc>
      </w:tr>
      <w:tr w:rsidR="001E7D68" w:rsidRPr="004922C8" w14:paraId="03349E4D" w14:textId="77777777" w:rsidTr="00C837B1">
        <w:trPr>
          <w:cantSplit/>
          <w:trHeight w:val="1956"/>
          <w:tblHeader/>
        </w:trPr>
        <w:tc>
          <w:tcPr>
            <w:tcW w:w="623"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2035"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1E7D68">
            <w:pPr>
              <w:spacing w:before="0" w:after="0" w:line="240" w:lineRule="auto"/>
              <w:jc w:val="center"/>
              <w:rPr>
                <w:rFonts w:eastAsia="Times New Roman" w:cs="Calibri"/>
                <w:b/>
                <w:bCs/>
                <w:color w:val="FFFFFF"/>
                <w:sz w:val="16"/>
                <w:szCs w:val="16"/>
              </w:rPr>
            </w:pPr>
          </w:p>
        </w:tc>
        <w:tc>
          <w:tcPr>
            <w:tcW w:w="624" w:type="dxa"/>
            <w:gridSpan w:val="2"/>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1E7D68">
            <w:pPr>
              <w:spacing w:before="0" w:after="0" w:line="240" w:lineRule="auto"/>
              <w:jc w:val="center"/>
              <w:rPr>
                <w:rFonts w:eastAsia="Times New Roman" w:cs="Calibri"/>
                <w:b/>
                <w:bCs/>
                <w:color w:val="FFFFFF"/>
                <w:sz w:val="16"/>
                <w:szCs w:val="16"/>
              </w:rPr>
              <w:keepNext/>
            </w:pPr>
            <w:r>
              <w:rPr>
                <w:rFonts w:eastAsia="Times New Roman" w:cs="Calibri"/>
                <w:b/>
                <w:bCs/>
                <w:color w:val="FFFFFF"/>
                <w:sz w:val="16"/>
                <w:szCs w:val="16"/>
              </w:rPr>
              <w:t>Data Sufficiency Screen</w:t>
            </w:r>
          </w:p>
        </w:tc>
        <w:tc>
          <w:tcPr>
            <w:tcW w:w="623"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1E7D68">
            <w:pPr>
              <w:spacing w:before="0" w:after="0" w:line="240" w:lineRule="auto"/>
              <w:jc w:val="center"/>
              <w:rPr>
                <w:rFonts w:eastAsia="Times New Roman" w:cs="Calibri"/>
                <w:b/>
                <w:bCs/>
                <w:color w:val="FFFFFF"/>
                <w:sz w:val="14"/>
                <w:szCs w:val="14"/>
              </w:rPr>
              <w:keepNext/>
            </w:pPr>
            <w:r w:rsidRPr="00D025DF">
              <w:rPr>
                <w:b/>
                <w:bCs/>
                <w:color w:val="FFFFFF"/>
                <w:sz w:val="14"/>
                <w:szCs w:val="14"/>
                <w:highlight w:val="yellow"/>
              </w:rPr>
              <w:t>Losses Screen</w:t>
            </w:r>
          </w:p>
        </w:tc>
        <w:tc>
          <w:tcPr>
            <w:tcW w:w="623" w:type="dxa"/>
            <w:tcBorders>
              <w:top w:val="nil"/>
              <w:left w:val="single" w:sz="4" w:space="0" w:color="auto"/>
              <w:bottom w:val="single" w:sz="4" w:space="0" w:color="auto"/>
              <w:right w:val="nil"/>
            </w:tcBorders>
            <w:shd w:val="clear" w:color="000000" w:fill="00338D"/>
            <w:textDirection w:val="btLr"/>
            <w:vAlign w:val="center"/>
            <w:hideMark/>
          </w:tcPr>
          <w:p w14:paraId="6BE9A6A1" w14:textId="76D459FB" w:rsidR="001E7D68" w:rsidRPr="004922C8" w:rsidRDefault="001E7D68" w:rsidP="001E7D68">
            <w:pPr>
              <w:spacing w:before="0" w:after="0" w:line="240" w:lineRule="auto"/>
              <w:jc w:val="center"/>
              <w:rPr>
                <w:rFonts w:eastAsia="Times New Roman" w:cs="Calibri"/>
                <w:b/>
                <w:bCs/>
                <w:color w:val="FFFFFF"/>
                <w:sz w:val="16"/>
                <w:szCs w:val="16"/>
              </w:rPr>
              <w:keepNext/>
            </w:pPr>
            <w:r>
              <w:rPr>
                <w:b/>
                <w:bCs/>
                <w:color w:val="FFFFFF"/>
                <w:sz w:val="14"/>
                <w:szCs w:val="14"/>
                <w:highlight w:val="yellow"/>
              </w:rPr>
              <w:t>Inventories Screen</w:t>
            </w:r>
          </w:p>
        </w:tc>
        <w:tc>
          <w:tcPr>
            <w:tcW w:w="623"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1E7D68">
            <w:pPr>
              <w:spacing w:before="0" w:after="0" w:line="240" w:lineRule="auto"/>
              <w:jc w:val="center"/>
              <w:rPr>
                <w:rFonts w:eastAsia="Times New Roman" w:cs="Calibri"/>
                <w:b/>
                <w:bCs/>
                <w:color w:val="FFFFFF"/>
                <w:sz w:val="16"/>
                <w:szCs w:val="16"/>
              </w:rPr>
            </w:pPr>
          </w:p>
        </w:tc>
        <w:tc>
          <w:tcPr>
            <w:tcW w:w="3155"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1E7D68">
            <w:pPr>
              <w:spacing w:before="0" w:after="0" w:line="240" w:lineRule="auto"/>
              <w:jc w:val="center"/>
              <w:rPr>
                <w:rFonts w:eastAsia="Times New Roman" w:cs="Calibri"/>
                <w:b/>
                <w:bCs/>
                <w:color w:val="FFFFFF"/>
                <w:sz w:val="16"/>
                <w:szCs w:val="16"/>
              </w:rPr>
            </w:pP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AGROMEP SA</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AKER SOLUTIONS ASA</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Develops energy projects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3</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ALLIGO AB</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Primarily distributes workwear and protective equipment</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4</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ARMA SA</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5</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BOURRELIER GROUP SA</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6</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COMAT SA (GIURGIU)</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7</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DM-KER NYILVANOSAN MUKODO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8</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EAST WEST AGRO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9</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FERRONORDIC AB</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10</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FLOWTECH FLUIDPOWER PLC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11</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HERIGE SA</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Engaged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12</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HONEY PAYMENT GROUP SA</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13</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HORNBACH HOLDING AG &amp; CO</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Owns and develops the real estate properties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14</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HORNBACH-BAUMARKT AG</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Was delisted in 2022</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15</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HOWDEN JOINERY GROUP PLC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Engaged in significant manufacturing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16</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INTERNITY SA</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Insufficient information</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17</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INTERWOOD-XYLEMPORIA ATENE</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18</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KINGFISHER PLC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Performs in-house product development</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19</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META WOLF AG</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20</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MOMENTUM GROUP AB PUBL</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Primarily distributes industrial engineering components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21</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MR BRICOLAGE SA</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Significant franchise operations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22</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OBER SAS</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23</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SPEEDY HIRE PLC</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Engages primarily in hire/rental activities</w:t>
            </w:r>
          </w:p>
        </w:tc>
      </w:tr>
      <w:tr w:rsidR="001E7D68" w:rsidRPr="004922C8" w14:paraId="73B752AB"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keepNext/>
            </w:pPr>
            <w:r w:rsidRPr="004922C8">
              <w:rPr>
                <w:rFonts w:eastAsia="Times New Roman" w:cs="Calibri"/>
                <w:sz w:val="16"/>
                <w:szCs w:val="16"/>
                <w:highlight w:val="yellow"/>
              </w:rPr>
              <w:t>24</w:t>
            </w:r>
          </w:p>
        </w:tc>
        <w:tc>
          <w:tcPr>
            <w:tcW w:w="203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keepNext/>
            </w:pPr>
            <w:r>
              <w:rPr>
                <w:color w:val="000000"/>
                <w:sz w:val="16"/>
                <w:szCs w:val="16"/>
                <w:highlight w:val="yellow"/>
              </w:rPr>
              <w:t>TEQNION AB (PUBL)</w:t>
            </w:r>
          </w:p>
        </w:tc>
        <w:tc>
          <w:tcPr>
            <w:tcW w:w="624" w:type="dxa"/>
            <w:gridSpan w:val="2"/>
            <w:tcBorders>
              <w:top w:val="nil"/>
              <w:left w:val="nil"/>
              <w:bottom w:val="single" w:sz="4" w:space="0" w:color="auto"/>
              <w:right w:val="single" w:sz="4" w:space="0" w:color="auto"/>
            </w:tcBorders>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nil"/>
              <w:bottom w:val="single" w:sz="4" w:space="0" w:color="auto"/>
              <w:right w:val="nil"/>
            </w:tcBorders>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nil"/>
            </w:tcBorders>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r>
          </w:p>
        </w:tc>
        <w:tc>
          <w:tcPr>
            <w:tcW w:w="623" w:type="dxa"/>
            <w:tcBorders>
              <w:top w:val="nil"/>
              <w:left w:val="single" w:sz="4" w:space="0" w:color="auto"/>
              <w:bottom w:val="single" w:sz="4" w:space="0" w:color="auto"/>
              <w:right w:val="single" w:sz="4" w:space="0" w:color="auto"/>
            </w:tcBorders>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keepNext/>
            </w:pPr>
            <w:r>
              <w:rPr>
                <w:sz w:val="16"/>
                <w:szCs w:val="16"/>
                <w:highlight w:val="yellow"/>
              </w:rPr>
              <w:t>X</w:t>
            </w:r>
          </w:p>
        </w:tc>
        <w:tc>
          <w:tcPr>
            <w:tcW w:w="3155"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keepNext/>
            </w:pPr>
            <w:r>
              <w:rPr>
                <w:sz w:val="16"/>
                <w:szCs w:val="16"/>
                <w:highlight w:val="yellow"/>
              </w:rPr>
              <w:t>Primarily engages in owning and acquiring companies</w:t>
            </w:r>
          </w:p>
        </w:tc>
      </w:tr>
      <w:tr w:rsidR="001E7D68" w:rsidRPr="00A40869" w14:paraId="1F95FB74" w14:textId="77777777" w:rsidTr="00C837B1">
        <w:trPr>
          <w:trHeight w:val="20"/>
          <w:cantSplit/>
        </w:trPr>
        <w:tc>
          <w:tcPr>
            <w:tcW w:w="623" w:type="dxa"/>
            <w:tcBorders>
              <w:top w:val="nil"/>
              <w:left w:val="single" w:sz="4" w:space="0" w:color="auto"/>
              <w:bottom w:val="single" w:sz="4" w:space="0" w:color="auto"/>
              <w:right w:val="single" w:sz="4" w:space="0" w:color="auto"/>
            </w:tcBorders>
            <w:vAlign w:val="center"/>
            <w:hideMark/>
          </w:tcPr>
          <w:p w14:paraId="752EE968" w14:textId="57DC43B7" w:rsidR="001E7D68" w:rsidRPr="00A40869" w:rsidRDefault="001E7D68" w:rsidP="001E7D68">
            <w:pPr>
              <w:spacing w:before="0" w:after="0" w:line="240" w:lineRule="auto"/>
              <w:jc w:val="center"/>
              <w:rPr>
                <w:rFonts w:eastAsia="Times New Roman" w:cs="Calibri"/>
                <w:b/>
                <w:bCs/>
                <w:sz w:val="16"/>
                <w:szCs w:val="16"/>
              </w:rPr>
            </w:pPr>
          </w:p>
        </w:tc>
        <w:tc>
          <w:tcPr>
            <w:tcW w:w="2035" w:type="dxa"/>
            <w:tcBorders>
              <w:top w:val="nil"/>
              <w:left w:val="nil"/>
              <w:bottom w:val="single" w:sz="4" w:space="0" w:color="auto"/>
              <w:right w:val="single" w:sz="4" w:space="0" w:color="auto"/>
            </w:tcBorders>
            <w:vAlign w:val="center"/>
            <w:hideMark/>
          </w:tcPr>
          <w:p w14:paraId="23BD3A63" w14:textId="71BC4040" w:rsidR="001E7D68" w:rsidRPr="00A40869" w:rsidRDefault="001E7D68" w:rsidP="001E7D68">
            <w:pPr>
              <w:spacing w:before="0" w:after="0" w:line="240" w:lineRule="auto"/>
              <w:jc w:val="left"/>
              <w:rPr>
                <w:rFonts w:eastAsia="Times New Roman" w:cs="Calibri"/>
                <w:b/>
                <w:bCs/>
                <w:color w:val="000000"/>
                <w:sz w:val="16"/>
                <w:szCs w:val="16"/>
              </w:rPr>
            </w:pPr>
            <w:r w:rsidRPr="00A40869">
              <w:rPr>
                <w:rFonts w:eastAsia="Times New Roman" w:cs="Calibri"/>
                <w:b/>
                <w:bCs/>
                <w:color w:val="000000"/>
                <w:sz w:val="16"/>
                <w:szCs w:val="16"/>
              </w:rPr>
              <w:t>Total</w:t>
            </w:r>
          </w:p>
        </w:tc>
        <w:tc>
          <w:tcPr>
            <w:tcW w:w="624" w:type="dxa"/>
            <w:gridSpan w:val="2"/>
            <w:tcBorders>
              <w:top w:val="nil"/>
              <w:left w:val="nil"/>
              <w:bottom w:val="single" w:sz="4" w:space="0" w:color="auto"/>
              <w:right w:val="single" w:sz="4" w:space="0" w:color="auto"/>
            </w:tcBorders>
            <w:vAlign w:val="center"/>
            <w:hideMark/>
          </w:tcPr>
          <w:p w14:paraId="2D75A854" w14:textId="25B5D2E1"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3</w:t>
            </w:r>
          </w:p>
        </w:tc>
        <w:tc>
          <w:tcPr>
            <w:tcW w:w="623" w:type="dxa"/>
            <w:tcBorders>
              <w:top w:val="nil"/>
              <w:left w:val="nil"/>
              <w:bottom w:val="single" w:sz="4" w:space="0" w:color="auto"/>
              <w:right w:val="nil"/>
            </w:tcBorders>
            <w:vAlign w:val="center"/>
            <w:hideMark/>
          </w:tcPr>
          <w:p w14:paraId="15C7797B" w14:textId="5CB4F8B3"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1</w:t>
            </w:r>
          </w:p>
        </w:tc>
        <w:tc>
          <w:tcPr>
            <w:tcW w:w="623" w:type="dxa"/>
            <w:tcBorders>
              <w:top w:val="nil"/>
              <w:left w:val="single" w:sz="4" w:space="0" w:color="auto"/>
              <w:bottom w:val="single" w:sz="4" w:space="0" w:color="auto"/>
              <w:right w:val="nil"/>
            </w:tcBorders>
            <w:vAlign w:val="center"/>
            <w:hideMark/>
          </w:tcPr>
          <w:p w14:paraId="208C2ACB" w14:textId="03598EB6"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8</w:t>
            </w:r>
          </w:p>
        </w:tc>
        <w:tc>
          <w:tcPr>
            <w:tcW w:w="623" w:type="dxa"/>
            <w:tcBorders>
              <w:top w:val="nil"/>
              <w:left w:val="single" w:sz="4" w:space="0" w:color="auto"/>
              <w:bottom w:val="single" w:sz="4" w:space="0" w:color="auto"/>
              <w:right w:val="single" w:sz="4" w:space="0" w:color="auto"/>
            </w:tcBorders>
            <w:vAlign w:val="center"/>
            <w:hideMark/>
          </w:tcPr>
          <w:p w14:paraId="4DE6CC86" w14:textId="0F003C3F" w:rsidR="001E7D68" w:rsidRPr="00A40869" w:rsidRDefault="001E7D68" w:rsidP="001E7D68">
            <w:pPr>
              <w:spacing w:before="0" w:after="0" w:line="240" w:lineRule="auto"/>
              <w:jc w:val="center"/>
              <w:rPr>
                <w:rFonts w:eastAsia="Times New Roman" w:cs="Calibri"/>
                <w:b/>
                <w:bCs/>
                <w:sz w:val="16"/>
                <w:szCs w:val="16"/>
              </w:rPr>
            </w:pPr>
            <w:r w:rsidRPr="00A40869">
              <w:rPr>
                <w:b/>
                <w:bCs/>
                <w:sz w:val="16"/>
                <w:szCs w:val="16"/>
                <w:highlight w:val="yellow"/>
              </w:rPr>
              <w:t>12</w:t>
            </w:r>
          </w:p>
        </w:tc>
        <w:tc>
          <w:tcPr>
            <w:tcW w:w="3155" w:type="dxa"/>
            <w:tcBorders>
              <w:top w:val="nil"/>
              <w:left w:val="nil"/>
              <w:bottom w:val="single" w:sz="4" w:space="0" w:color="auto"/>
              <w:right w:val="single" w:sz="4" w:space="0" w:color="auto"/>
            </w:tcBorders>
            <w:vAlign w:val="center"/>
            <w:hideMark/>
          </w:tcPr>
          <w:p w14:paraId="2A4120D9" w14:textId="52CD1E08" w:rsidR="001E7D68" w:rsidRPr="00A40869" w:rsidRDefault="001E7D68" w:rsidP="001E7D68">
            <w:pPr>
              <w:spacing w:before="0" w:after="0" w:line="240" w:lineRule="auto"/>
              <w:jc w:val="left"/>
              <w:rPr>
                <w:rFonts w:eastAsia="Times New Roman" w:cs="Calibri"/>
                <w:b/>
                <w:bCs/>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12"/>
      <w:footerReference w:type="default" r:id="rId13"/>
      <w:headerReference w:type="first" r:id="rId14"/>
      <w:headerReference w:type="even" r:id="rId18"/>
      <w:footerReference w:type="first" r:id="rId19"/>
      <w:footerReference w:type="even" r:id="rId20"/>
      <w:pgSz w:w="11906" w:h="16838"/>
      <w:pgMar w:top="1440" w:right="1800" w:bottom="1440" w:left="1800" w:header="708" w:footer="454"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PMG Israel" w:date="2026-05-26T17:12:00Z" w:initials="KI">
    <w:p w14:paraId="36B2E82A" w14:textId="77777777" w:rsidR="000C154C" w:rsidRDefault="000C154C" w:rsidP="000C154C">
      <w:pPr>
        <w:pStyle w:val="CommentText"/>
        <w:jc w:val="left"/>
      </w:pPr>
      <w:r>
        <w:rPr>
          <w:rStyle w:val="CommentReference"/>
        </w:rPr>
        <w:annotationRef/>
      </w:r>
      <w:r>
        <w:t>SIC codes and their descriptions are located within a single cell and are separated by the symbols “-” and “,”</w:t>
      </w:r>
    </w:p>
  </w:comment>
  <w:comment w:id="4" w:author="KPMG Israel" w:date="2026-05-27T11:47:00Z" w:initials="KI">
    <w:p w14:paraId="3A17664D" w14:textId="77777777" w:rsidR="00C6115C" w:rsidRDefault="00C6115C" w:rsidP="00C6115C">
      <w:pPr>
        <w:pStyle w:val="CommentText"/>
        <w:jc w:val="left"/>
      </w:pPr>
      <w:r>
        <w:rPr>
          <w:rStyle w:val="CommentReference"/>
        </w:rPr>
        <w:annotationRef/>
      </w:r>
      <w:r>
        <w:t>Parsed till the empty cell under “Quantitative Screening” in file “AnalysisSummary_383774”</w:t>
      </w:r>
    </w:p>
  </w:comment>
  <w:comment w:id="5" w:author="KPMG Israel" w:date="2026-05-27T11:47:00Z" w:initials="KI">
    <w:p w14:paraId="74A0588D" w14:textId="77777777" w:rsidR="0076672B" w:rsidRDefault="0076672B" w:rsidP="00C6115C">
      <w:pPr>
        <w:pStyle w:val="CommentText"/>
        <w:jc w:val="left"/>
      </w:pPr>
      <w:r>
        <w:rPr>
          <w:rStyle w:val="CommentReference"/>
        </w:rPr>
        <w:annotationRef/>
      </w:r>
      <w:r>
        <w:t>Parsed till the empty cell under “Quantitative Screening” in file “AnalysisSummary_383774”</w:t>
      </w:r>
    </w:p>
  </w:comment>
  <w:comment w:id="6" w:author="KPMG Israel" w:date="2026-05-26T17:55:00Z" w:initials="KI">
    <w:p w14:paraId="1AA37615" w14:textId="37A7F1D4" w:rsidR="008E5D0E" w:rsidRDefault="008E5D0E" w:rsidP="008E5D0E">
      <w:pPr>
        <w:pStyle w:val="CommentText"/>
        <w:jc w:val="left"/>
      </w:pPr>
      <w:r>
        <w:rPr>
          <w:rStyle w:val="CommentReference"/>
        </w:rPr>
        <w:annotationRef/>
      </w:r>
      <w:r>
        <w:t>Table based on columns E,F,H,J,L from file “PLIResultsOverview_v1_383774”</w:t>
      </w:r>
    </w:p>
  </w:comment>
  <w:comment w:id="7" w:author="KPMG Israel" w:date="2026-05-26T17:57:00Z" w:initials="KI">
    <w:p w14:paraId="199FCE29" w14:textId="0C63A828" w:rsidR="007F7CF8" w:rsidRDefault="008E5D0E" w:rsidP="007F7CF8">
      <w:pPr>
        <w:pStyle w:val="CommentText"/>
        <w:jc w:val="left"/>
      </w:pPr>
      <w:r>
        <w:rPr>
          <w:rStyle w:val="CommentReference"/>
        </w:rPr>
        <w:annotationRef/>
      </w:r>
      <w:r w:rsidR="007F7CF8">
        <w:t>Based on companies with status “accepted” and column AV from file “Compustat Qualitative Screening”</w:t>
      </w:r>
    </w:p>
  </w:comment>
  <w:comment w:id="8" w:author="KPMG Israel" w:date="2026-05-27T10:21:00Z" w:initials="KI">
    <w:p w14:paraId="19F3EB5A" w14:textId="38860F1C" w:rsidR="00425E9D" w:rsidRDefault="00425E9D" w:rsidP="00425E9D">
      <w:pPr>
        <w:pStyle w:val="CommentText"/>
        <w:jc w:val="left"/>
      </w:pPr>
      <w:r>
        <w:rPr>
          <w:rStyle w:val="CommentReference"/>
        </w:rPr>
        <w:annotationRef/>
      </w:r>
      <w:r>
        <w:t>Based of the file “FinancialDocumentReportForStandardReports_383774” with following formatting adjustments: Only 3 years to be kept, “(TP)” near the years to be removed, “Current Status” to be removed, anything after “USD in M” in row “Currency details” to be removed, “(Calculated)” to be removed, “(Unadjusted)” after Net Cost Plus to be removed, Footer after the table to be removed, all columns except the left one to be aligned in the center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2E82A" w15:done="0"/>
  <w15:commentEx w15:paraId="3A17664D" w15:done="0"/>
  <w15:commentEx w15:paraId="74A0588D" w15:done="0"/>
  <w15:commentEx w15:paraId="1AA37615" w15:done="0"/>
  <w15:commentEx w15:paraId="199FCE29" w15:done="0"/>
  <w15:commentEx w15:paraId="19F3EB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FEB38" w16cex:dateUtc="2026-05-26T14:12:00Z"/>
  <w16cex:commentExtensible w16cex:durableId="285E6AAA" w16cex:dateUtc="2026-05-27T08:47:00Z"/>
  <w16cex:commentExtensible w16cex:durableId="10BF94AB" w16cex:dateUtc="2026-05-27T08:47:00Z"/>
  <w16cex:commentExtensible w16cex:durableId="14259816" w16cex:dateUtc="2026-05-26T14:55:00Z"/>
  <w16cex:commentExtensible w16cex:durableId="08E267DC" w16cex:dateUtc="2026-05-26T14:57:00Z"/>
  <w16cex:commentExtensible w16cex:durableId="68F7A149" w16cex:dateUtc="2026-05-27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2E82A" w16cid:durableId="105FEB38"/>
  <w16cid:commentId w16cid:paraId="3A17664D" w16cid:durableId="285E6AAA"/>
  <w16cid:commentId w16cid:paraId="74A0588D" w16cid:durableId="10BF94AB"/>
  <w16cid:commentId w16cid:paraId="1AA37615" w16cid:durableId="14259816"/>
  <w16cid:commentId w16cid:paraId="199FCE29" w16cid:durableId="08E267DC"/>
  <w16cid:commentId w16cid:paraId="19F3EB5A" w16cid:durableId="68F7A1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5BABA" w14:textId="77777777" w:rsidR="005506AE" w:rsidRDefault="005506AE" w:rsidP="0022176B">
      <w:pPr>
        <w:spacing w:before="0" w:after="0" w:line="240" w:lineRule="auto"/>
      </w:pPr>
      <w:r>
        <w:separator/>
      </w:r>
    </w:p>
  </w:endnote>
  <w:endnote w:type="continuationSeparator" w:id="0">
    <w:p w14:paraId="5BDB0F25" w14:textId="77777777" w:rsidR="005506AE" w:rsidRDefault="005506AE"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20B0604020202020204"/>
    <w:charset w:val="00"/>
    <w:family w:val="roman"/>
    <w:notTrueType/>
    <w:pitch w:val="default"/>
  </w:font>
  <w:font w:name="Univers for KPMG Light">
    <w:altName w:val="Calibri"/>
    <w:panose1 w:val="020B0604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B1"/>
    <w:family w:val="swiss"/>
    <w:pitch w:val="variable"/>
    <w:sig w:usb0="00000803" w:usb1="00000000" w:usb2="00000000" w:usb3="00000000" w:csb0="00000021" w:csb1="00000000"/>
  </w:font>
  <w:font w:name="Latha">
    <w:panose1 w:val="020B0604020202020204"/>
    <w:charset w:val="00"/>
    <w:family w:val="swiss"/>
    <w:pitch w:val="variable"/>
    <w:sig w:usb0="00100003" w:usb1="00000000" w:usb2="00000000" w:usb3="00000000" w:csb0="00000001" w:csb1="00000000"/>
  </w:font>
  <w:font w:name="Univers for KPMG">
    <w:panose1 w:val="020B0604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3" w:usb1="00000000" w:usb2="00000000" w:usb3="00000000" w:csb0="00000021" w:csb1="00000000"/>
  </w:font>
  <w:font w:name="David">
    <w:panose1 w:val="020E0502060401010101"/>
    <w:charset w:val="B1"/>
    <w:family w:val="swiss"/>
    <w:pitch w:val="variable"/>
    <w:sig w:usb0="00000803" w:usb1="00000000" w:usb2="00000000" w:usb3="00000000" w:csb0="0000002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Caslon540 BT">
    <w:altName w:val="Times New Roman"/>
    <w:panose1 w:val="020B0604020202020204"/>
    <w:charset w:val="00"/>
    <w:family w:val="roman"/>
    <w:notTrueType/>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CF7A9" w14:textId="77777777" w:rsidR="005506AE" w:rsidRDefault="005506AE" w:rsidP="0022176B">
      <w:pPr>
        <w:spacing w:before="0" w:after="0" w:line="240" w:lineRule="auto"/>
      </w:pPr>
      <w:r>
        <w:separator/>
      </w:r>
    </w:p>
  </w:footnote>
  <w:footnote w:type="continuationSeparator" w:id="0">
    <w:p w14:paraId="176ACADB" w14:textId="77777777" w:rsidR="005506AE" w:rsidRDefault="005506AE"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388E34A5" w14:textId="11B85A34" w:rsidR="0031383F" w:rsidRPr="0041685B" w:rsidRDefault="00B62FDF" w:rsidP="00594CBE">
          <w:pPr>
            <w:pStyle w:val="Header"/>
            <w:tabs>
              <w:tab w:val="right" w:pos="8222"/>
            </w:tabs>
            <w:ind w:left="720"/>
            <w:jc w:val="right"/>
            <w:rPr>
              <w:sz w:val="20"/>
              <w:szCs w:val="20"/>
            </w:rPr>
          </w:pPr>
          <w:r>
            <w:rPr>
              <w:sz w:val="20"/>
              <w:szCs w:val="20"/>
              <w:highlight w:val="yellow"/>
            </w:rPr>
            <w:t>ECOncrete - EU Distribution - Construction materials - 22-24</w:t>
          </w:r>
          <w:r w:rsidR="00AA75FE">
            <w:rPr>
              <w:sz w:val="20"/>
              <w:szCs w:val="20"/>
            </w:rPr>
          </w:r>
          <w:r w:rsidR="007461AA">
            <w:rPr>
              <w:sz w:val="20"/>
              <w:szCs w:val="20"/>
            </w:rPr>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6"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0"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3"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4"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6"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18"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2"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3"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4"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6"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7"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29"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0"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2"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0"/>
  </w:num>
  <w:num w:numId="3" w16cid:durableId="958335965">
    <w:abstractNumId w:val="26"/>
  </w:num>
  <w:num w:numId="4" w16cid:durableId="41290250">
    <w:abstractNumId w:val="20"/>
  </w:num>
  <w:num w:numId="5" w16cid:durableId="118304455">
    <w:abstractNumId w:val="17"/>
  </w:num>
  <w:num w:numId="6" w16cid:durableId="1063597158">
    <w:abstractNumId w:val="1"/>
  </w:num>
  <w:num w:numId="7" w16cid:durableId="876308039">
    <w:abstractNumId w:val="23"/>
  </w:num>
  <w:num w:numId="8" w16cid:durableId="1178231129">
    <w:abstractNumId w:val="9"/>
  </w:num>
  <w:num w:numId="9" w16cid:durableId="1137067931">
    <w:abstractNumId w:val="32"/>
  </w:num>
  <w:num w:numId="10" w16cid:durableId="746390425">
    <w:abstractNumId w:val="25"/>
  </w:num>
  <w:num w:numId="11" w16cid:durableId="989795277">
    <w:abstractNumId w:val="28"/>
  </w:num>
  <w:num w:numId="12" w16cid:durableId="1587105362">
    <w:abstractNumId w:val="15"/>
  </w:num>
  <w:num w:numId="13" w16cid:durableId="6680192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6"/>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2"/>
  </w:num>
  <w:num w:numId="18" w16cid:durableId="345793775">
    <w:abstractNumId w:val="29"/>
  </w:num>
  <w:num w:numId="19" w16cid:durableId="1721243969">
    <w:abstractNumId w:val="7"/>
  </w:num>
  <w:num w:numId="20" w16cid:durableId="880242936">
    <w:abstractNumId w:val="8"/>
  </w:num>
  <w:num w:numId="21" w16cid:durableId="1835602358">
    <w:abstractNumId w:val="5"/>
  </w:num>
  <w:num w:numId="22" w16cid:durableId="1396977069">
    <w:abstractNumId w:val="21"/>
  </w:num>
  <w:num w:numId="23" w16cid:durableId="1113208366">
    <w:abstractNumId w:val="22"/>
  </w:num>
  <w:num w:numId="24" w16cid:durableId="106969820">
    <w:abstractNumId w:val="13"/>
  </w:num>
  <w:num w:numId="25" w16cid:durableId="1123619668">
    <w:abstractNumId w:val="29"/>
  </w:num>
  <w:num w:numId="26" w16cid:durableId="1374574765">
    <w:abstractNumId w:val="31"/>
  </w:num>
  <w:num w:numId="27" w16cid:durableId="495343005">
    <w:abstractNumId w:val="11"/>
  </w:num>
  <w:num w:numId="28" w16cid:durableId="1189024474">
    <w:abstractNumId w:val="19"/>
  </w:num>
  <w:num w:numId="29" w16cid:durableId="1806506445">
    <w:abstractNumId w:val="24"/>
  </w:num>
  <w:num w:numId="30" w16cid:durableId="1779519341">
    <w:abstractNumId w:val="14"/>
  </w:num>
  <w:num w:numId="31" w16cid:durableId="597176244">
    <w:abstractNumId w:val="27"/>
  </w:num>
  <w:num w:numId="32" w16cid:durableId="38020691">
    <w:abstractNumId w:val="30"/>
  </w:num>
  <w:num w:numId="33" w16cid:durableId="1151674951">
    <w:abstractNumId w:val="16"/>
  </w:num>
  <w:num w:numId="34" w16cid:durableId="1038313513">
    <w:abstractNumId w:val="18"/>
  </w:num>
  <w:num w:numId="35" w16cid:durableId="1366058933">
    <w:abstractNumId w:val="11"/>
  </w:num>
  <w:num w:numId="36" w16cid:durableId="2062972630">
    <w:abstractNumId w:val="11"/>
  </w:num>
  <w:num w:numId="37" w16cid:durableId="790393725">
    <w:abstractNumId w:val="11"/>
  </w:num>
  <w:num w:numId="38" w16cid:durableId="1884825027">
    <w:abstractNumId w:val="11"/>
  </w:num>
  <w:num w:numId="39" w16cid:durableId="1508061061">
    <w:abstractNumId w:val="11"/>
  </w:num>
  <w:num w:numId="40" w16cid:durableId="1328707519">
    <w:abstractNumId w:val="11"/>
  </w:num>
  <w:num w:numId="41" w16cid:durableId="1654288997">
    <w:abstractNumId w:val="11"/>
  </w:num>
  <w:num w:numId="42" w16cid:durableId="627005883">
    <w:abstractNumId w:val="11"/>
  </w:num>
  <w:num w:numId="43" w16cid:durableId="1640068113">
    <w:abstractNumId w:val="11"/>
  </w:num>
  <w:num w:numId="44" w16cid:durableId="689184106">
    <w:abstractNumId w:val="11"/>
  </w:num>
  <w:num w:numId="45" w16cid:durableId="2041278170">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Israel">
    <w15:presenceInfo w15:providerId="None" w15:userId="KPMG Isra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51C0"/>
    <w:rsid w:val="000E52F7"/>
    <w:rsid w:val="000F209A"/>
    <w:rsid w:val="000F5648"/>
    <w:rsid w:val="000F5E74"/>
    <w:rsid w:val="000F63A0"/>
    <w:rsid w:val="000F7735"/>
    <w:rsid w:val="001012D2"/>
    <w:rsid w:val="0010439A"/>
    <w:rsid w:val="00117F84"/>
    <w:rsid w:val="00121DE2"/>
    <w:rsid w:val="001220B7"/>
    <w:rsid w:val="00127CE1"/>
    <w:rsid w:val="00136A6C"/>
    <w:rsid w:val="00144E72"/>
    <w:rsid w:val="00147518"/>
    <w:rsid w:val="00162A67"/>
    <w:rsid w:val="0016321F"/>
    <w:rsid w:val="0017726B"/>
    <w:rsid w:val="001813DB"/>
    <w:rsid w:val="001B0553"/>
    <w:rsid w:val="001B58AD"/>
    <w:rsid w:val="001B650C"/>
    <w:rsid w:val="001C34DD"/>
    <w:rsid w:val="001C539E"/>
    <w:rsid w:val="001C6074"/>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65D2"/>
    <w:rsid w:val="002C6E4A"/>
    <w:rsid w:val="002D4A24"/>
    <w:rsid w:val="002D5E32"/>
    <w:rsid w:val="002E0E97"/>
    <w:rsid w:val="002E129F"/>
    <w:rsid w:val="002E7BA9"/>
    <w:rsid w:val="002F0DC2"/>
    <w:rsid w:val="003051BB"/>
    <w:rsid w:val="003062A5"/>
    <w:rsid w:val="003076B8"/>
    <w:rsid w:val="00307D5E"/>
    <w:rsid w:val="0031262E"/>
    <w:rsid w:val="0031383F"/>
    <w:rsid w:val="00316E92"/>
    <w:rsid w:val="00326703"/>
    <w:rsid w:val="0033618F"/>
    <w:rsid w:val="00337868"/>
    <w:rsid w:val="00337A24"/>
    <w:rsid w:val="00337B3D"/>
    <w:rsid w:val="00350AF4"/>
    <w:rsid w:val="0036149E"/>
    <w:rsid w:val="003664F3"/>
    <w:rsid w:val="00370FE0"/>
    <w:rsid w:val="00373D25"/>
    <w:rsid w:val="00376AB1"/>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298D"/>
    <w:rsid w:val="00403412"/>
    <w:rsid w:val="0041685B"/>
    <w:rsid w:val="0042046C"/>
    <w:rsid w:val="00421638"/>
    <w:rsid w:val="00421A75"/>
    <w:rsid w:val="00425E9D"/>
    <w:rsid w:val="00427C1C"/>
    <w:rsid w:val="00427FF1"/>
    <w:rsid w:val="00445B40"/>
    <w:rsid w:val="00450475"/>
    <w:rsid w:val="0045725A"/>
    <w:rsid w:val="004622EE"/>
    <w:rsid w:val="004623A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3350"/>
    <w:rsid w:val="004F100A"/>
    <w:rsid w:val="004F1D05"/>
    <w:rsid w:val="005013DF"/>
    <w:rsid w:val="00505280"/>
    <w:rsid w:val="0050579F"/>
    <w:rsid w:val="00506F6F"/>
    <w:rsid w:val="00523E22"/>
    <w:rsid w:val="00527E1F"/>
    <w:rsid w:val="00531579"/>
    <w:rsid w:val="005400CD"/>
    <w:rsid w:val="00547A39"/>
    <w:rsid w:val="00547F00"/>
    <w:rsid w:val="005506AE"/>
    <w:rsid w:val="005508BF"/>
    <w:rsid w:val="00554935"/>
    <w:rsid w:val="00555AD8"/>
    <w:rsid w:val="00557C2F"/>
    <w:rsid w:val="00564C65"/>
    <w:rsid w:val="005764E7"/>
    <w:rsid w:val="0057744E"/>
    <w:rsid w:val="00593AB4"/>
    <w:rsid w:val="00594CBE"/>
    <w:rsid w:val="005A25C9"/>
    <w:rsid w:val="005A7199"/>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EE3"/>
    <w:rsid w:val="006144DC"/>
    <w:rsid w:val="00615E37"/>
    <w:rsid w:val="00622338"/>
    <w:rsid w:val="0062264C"/>
    <w:rsid w:val="006243B0"/>
    <w:rsid w:val="006260E9"/>
    <w:rsid w:val="0063238C"/>
    <w:rsid w:val="006371B6"/>
    <w:rsid w:val="00650C5F"/>
    <w:rsid w:val="00654DC4"/>
    <w:rsid w:val="0066064A"/>
    <w:rsid w:val="00670A36"/>
    <w:rsid w:val="00677A96"/>
    <w:rsid w:val="006860F1"/>
    <w:rsid w:val="006A0115"/>
    <w:rsid w:val="006A0317"/>
    <w:rsid w:val="006C0875"/>
    <w:rsid w:val="006D093E"/>
    <w:rsid w:val="006D67FC"/>
    <w:rsid w:val="006F1F86"/>
    <w:rsid w:val="006F3010"/>
    <w:rsid w:val="006F3DEA"/>
    <w:rsid w:val="006F7943"/>
    <w:rsid w:val="006F7A7A"/>
    <w:rsid w:val="006F7D2A"/>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265C"/>
    <w:rsid w:val="00815517"/>
    <w:rsid w:val="008164CB"/>
    <w:rsid w:val="008366A4"/>
    <w:rsid w:val="00836D4A"/>
    <w:rsid w:val="00840892"/>
    <w:rsid w:val="008444BB"/>
    <w:rsid w:val="0084528E"/>
    <w:rsid w:val="00850123"/>
    <w:rsid w:val="00851D28"/>
    <w:rsid w:val="008574C0"/>
    <w:rsid w:val="008732A9"/>
    <w:rsid w:val="00887172"/>
    <w:rsid w:val="008972D7"/>
    <w:rsid w:val="008A18D4"/>
    <w:rsid w:val="008B083A"/>
    <w:rsid w:val="008B6645"/>
    <w:rsid w:val="008C04D0"/>
    <w:rsid w:val="008C40B2"/>
    <w:rsid w:val="008C5E31"/>
    <w:rsid w:val="008C761C"/>
    <w:rsid w:val="008D2180"/>
    <w:rsid w:val="008D77A1"/>
    <w:rsid w:val="008E2DD2"/>
    <w:rsid w:val="008E5D0E"/>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51CB"/>
    <w:rsid w:val="009C2287"/>
    <w:rsid w:val="009C29B7"/>
    <w:rsid w:val="009E1CAA"/>
    <w:rsid w:val="009F285D"/>
    <w:rsid w:val="009F38E5"/>
    <w:rsid w:val="009F685E"/>
    <w:rsid w:val="00A0323D"/>
    <w:rsid w:val="00A0656F"/>
    <w:rsid w:val="00A12D12"/>
    <w:rsid w:val="00A201D7"/>
    <w:rsid w:val="00A21582"/>
    <w:rsid w:val="00A22030"/>
    <w:rsid w:val="00A32D6D"/>
    <w:rsid w:val="00A34CF7"/>
    <w:rsid w:val="00A37725"/>
    <w:rsid w:val="00A407BC"/>
    <w:rsid w:val="00A40869"/>
    <w:rsid w:val="00A43B70"/>
    <w:rsid w:val="00A51BB2"/>
    <w:rsid w:val="00A52AF0"/>
    <w:rsid w:val="00A552A1"/>
    <w:rsid w:val="00A57CBD"/>
    <w:rsid w:val="00A639C9"/>
    <w:rsid w:val="00A65322"/>
    <w:rsid w:val="00A67FD4"/>
    <w:rsid w:val="00A72807"/>
    <w:rsid w:val="00A86DFA"/>
    <w:rsid w:val="00A9283E"/>
    <w:rsid w:val="00A9707D"/>
    <w:rsid w:val="00A97614"/>
    <w:rsid w:val="00AA0F1D"/>
    <w:rsid w:val="00AA4B8B"/>
    <w:rsid w:val="00AA75FE"/>
    <w:rsid w:val="00AB0250"/>
    <w:rsid w:val="00AC1AE1"/>
    <w:rsid w:val="00AC2F37"/>
    <w:rsid w:val="00AD6B0A"/>
    <w:rsid w:val="00AE5D46"/>
    <w:rsid w:val="00B1172A"/>
    <w:rsid w:val="00B15A51"/>
    <w:rsid w:val="00B23A5E"/>
    <w:rsid w:val="00B25AA8"/>
    <w:rsid w:val="00B31664"/>
    <w:rsid w:val="00B559A2"/>
    <w:rsid w:val="00B62FDF"/>
    <w:rsid w:val="00B63B54"/>
    <w:rsid w:val="00B64285"/>
    <w:rsid w:val="00B64F28"/>
    <w:rsid w:val="00B66E83"/>
    <w:rsid w:val="00B71AC9"/>
    <w:rsid w:val="00B926C5"/>
    <w:rsid w:val="00B93FFE"/>
    <w:rsid w:val="00BA4507"/>
    <w:rsid w:val="00BA5800"/>
    <w:rsid w:val="00BB5AC5"/>
    <w:rsid w:val="00BD67AE"/>
    <w:rsid w:val="00BD7A9B"/>
    <w:rsid w:val="00BE2398"/>
    <w:rsid w:val="00BE52B2"/>
    <w:rsid w:val="00BE5EA5"/>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C1628"/>
    <w:rsid w:val="00CC6EFF"/>
    <w:rsid w:val="00CE328E"/>
    <w:rsid w:val="00CE50EE"/>
    <w:rsid w:val="00CF2E00"/>
    <w:rsid w:val="00CF7107"/>
    <w:rsid w:val="00D01B26"/>
    <w:rsid w:val="00D020D9"/>
    <w:rsid w:val="00D025DF"/>
    <w:rsid w:val="00D03082"/>
    <w:rsid w:val="00D041FE"/>
    <w:rsid w:val="00D04B8C"/>
    <w:rsid w:val="00D14D57"/>
    <w:rsid w:val="00D2024F"/>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E5685"/>
    <w:rsid w:val="00DF02D4"/>
    <w:rsid w:val="00DF34D9"/>
    <w:rsid w:val="00E01E15"/>
    <w:rsid w:val="00E04A87"/>
    <w:rsid w:val="00E04BA9"/>
    <w:rsid w:val="00E05394"/>
    <w:rsid w:val="00E0646B"/>
    <w:rsid w:val="00E119C6"/>
    <w:rsid w:val="00E2521A"/>
    <w:rsid w:val="00E333C9"/>
    <w:rsid w:val="00E36384"/>
    <w:rsid w:val="00E36734"/>
    <w:rsid w:val="00E457C4"/>
    <w:rsid w:val="00E468EB"/>
    <w:rsid w:val="00E61EBE"/>
    <w:rsid w:val="00E63154"/>
    <w:rsid w:val="00E80517"/>
    <w:rsid w:val="00E952EA"/>
    <w:rsid w:val="00E95CF8"/>
    <w:rsid w:val="00EA27E7"/>
    <w:rsid w:val="00EA7CA3"/>
    <w:rsid w:val="00EB4109"/>
    <w:rsid w:val="00EB5FF6"/>
    <w:rsid w:val="00EB78C5"/>
    <w:rsid w:val="00EC533B"/>
    <w:rsid w:val="00EC53B6"/>
    <w:rsid w:val="00ED179A"/>
    <w:rsid w:val="00EE6185"/>
    <w:rsid w:val="00EE7603"/>
    <w:rsid w:val="00F05EB1"/>
    <w:rsid w:val="00F16D6E"/>
    <w:rsid w:val="00F21A80"/>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422"/>
    <w:rsid w:val="00FA7D69"/>
    <w:rsid w:val="00FB43EF"/>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54A0244C-0A30-4182-8F59-BDBD6C87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Refael Avramashvili</cp:lastModifiedBy>
  <cp:revision>7</cp:revision>
  <dcterms:created xsi:type="dcterms:W3CDTF">2026-06-08T11:23:00Z</dcterms:created>
  <dcterms:modified xsi:type="dcterms:W3CDTF">2026-06-08T15:24:00Z</dcterms:modified>
</cp:coreProperties>
</file>