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Default Extension="jpg" ContentType="image/jpe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word/stylesWithEffects.xml" ContentType="application/vnd.ms-word.stylesWithEffect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pStyle w:val="Heading1"/>
        <w:rPr>
          <w:sz w:val="36"/>
        </w:rPr>
      </w:pPr>
      <w:r>
        <w:rPr>
          <w:sz w:val="36"/>
        </w:rPr>
        <w:t>CareerWay - Value Proposition Canvas</w:t>
      </w:r>
    </w:p>
    <w:p>
      <w:pPr>
        <w:pStyle w:val="Heading2"/>
        <w:rPr>
          <w:sz w:val="36"/>
        </w:rPr>
      </w:pPr>
      <w:r>
        <w:rPr>
          <w:sz w:val="36"/>
        </w:rPr>
        <w:t>1. Customer Segment</w:t>
      </w:r>
    </w:p>
    <w:p>
      <w:pPr>
        <w:rPr>
          <w:sz w:val="36"/>
        </w:rPr>
      </w:pPr>
      <w:r>
        <w:rPr>
          <w:sz w:val="36"/>
        </w:rPr>
        <w:t>CareerWay is designed to help students explore and discover career paths through AI-driven guidance, gamification, and real-time opportunity tracking.</w:t>
      </w:r>
      <w:r>
        <w:rPr>
          <w:sz w:val="36"/>
        </w:rPr>
        <w:br/>
      </w:r>
      <w:r>
        <w:rPr>
          <w:sz w:val="36"/>
        </w:rPr>
        <w:t>• High school students (Grades 9-12) who need guidance on career options.</w:t>
      </w:r>
      <w:r>
        <w:rPr>
          <w:sz w:val="36"/>
        </w:rPr>
        <w:br/>
      </w:r>
      <w:r>
        <w:rPr>
          <w:sz w:val="36"/>
        </w:rPr>
        <w:t>• College students seeking internships, scholarships, and career growth.</w:t>
      </w:r>
      <w:r>
        <w:rPr>
          <w:sz w:val="36"/>
        </w:rPr>
        <w:br/>
      </w:r>
      <w:r>
        <w:rPr>
          <w:sz w:val="36"/>
        </w:rPr>
        <w:t>• Parents and teachers who influence students’ career decisions.</w:t>
      </w:r>
      <w:r>
        <w:rPr>
          <w:sz w:val="36"/>
        </w:rPr>
        <w:br/>
      </w:r>
      <w:r>
        <w:rPr>
          <w:sz w:val="36"/>
        </w:rPr>
        <w:t>• Ed-tech platforms and universities looking for career guidance tools.</w:t>
      </w:r>
      <w:r>
        <w:rPr>
          <w:sz w:val="36"/>
        </w:rPr>
        <w:br/>
      </w:r>
      <w:r>
        <w:rPr>
          <w:sz w:val="36"/>
        </w:rPr>
        <w:t>• Job platforms and companies looking for early talent pipeline.</w:t>
      </w:r>
    </w:p>
    <w:p>
      <w:pPr>
        <w:pStyle w:val="Heading2"/>
        <w:rPr>
          <w:sz w:val="36"/>
        </w:rPr>
      </w:pPr>
      <w:r>
        <w:rPr>
          <w:sz w:val="36"/>
        </w:rPr>
        <w:t>2. Customer Pains</w:t>
      </w:r>
    </w:p>
    <w:p>
      <w:pPr>
        <w:rPr>
          <w:sz w:val="36"/>
        </w:rPr>
      </w:pPr>
      <w:r>
        <w:rPr>
          <w:sz w:val="36"/>
        </w:rPr>
        <w:t>Students, especially in Tier-2 and Tier-3 cities, face major challenges when choosing career paths: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Limited Career Exposure</w:t>
      </w:r>
      <w:r>
        <w:rPr>
          <w:sz w:val="36"/>
        </w:rPr>
        <w:t>: Many students only know about traditional careers (Engineering, Medicine, MBA).</w:t>
      </w:r>
      <w:r>
        <w:rPr>
          <w:sz w:val="36"/>
        </w:rPr>
        <w:br/>
      </w:r>
      <w:r>
        <w:rPr>
          <w:sz w:val="36"/>
        </w:rPr>
        <w:t>•</w:t>
      </w:r>
      <w:r>
        <w:rPr>
          <w:b/>
          <w:sz w:val="36"/>
        </w:rPr>
        <w:t>Lack of Guidance</w:t>
      </w:r>
      <w:r>
        <w:rPr>
          <w:sz w:val="36"/>
        </w:rPr>
        <w:t>: No personalized or affordable career counseling options.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Unawareness of Opportunities</w:t>
      </w:r>
      <w:r>
        <w:rPr>
          <w:sz w:val="36"/>
        </w:rPr>
        <w:t>: Many students miss out on scholarships, internships, and career-building resources.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Overwhelming Choices</w:t>
      </w:r>
      <w:r>
        <w:rPr>
          <w:sz w:val="36"/>
        </w:rPr>
        <w:t>:Without structured guidance, students feel lost among too many options.</w:t>
      </w:r>
    </w:p>
    <w:p>
      <w:r>
        <w:rPr>
          <w:noProof/>
        </w:rPr>
        <w:drawing>
          <wp:inline xmlns:a="http://schemas.openxmlformats.org/drawingml/2006/main" xmlns:pic="http://schemas.openxmlformats.org/drawingml/2006/picture">
            <wp:extent cx="3657600" cy="1712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ed_customer_pai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12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36"/>
        </w:rPr>
      </w:pPr>
      <w:r>
        <w:rPr>
          <w:sz w:val="36"/>
        </w:rPr>
        <w:t>Pie Chart: Breakdown of Student Pain Points</w:t>
      </w:r>
    </w:p>
    <w:p>
      <w:pPr>
        <w:pStyle w:val="Heading2"/>
        <w:rPr>
          <w:sz w:val="36"/>
        </w:rPr>
      </w:pPr>
      <w:r>
        <w:rPr>
          <w:sz w:val="36"/>
        </w:rPr>
        <w:t>3. CareerWay Gains &amp; Solution</w:t>
      </w:r>
    </w:p>
    <w:p>
      <w:pPr>
        <w:rPr>
          <w:sz w:val="36"/>
        </w:rPr>
      </w:pPr>
      <w:r>
        <w:rPr>
          <w:sz w:val="36"/>
        </w:rPr>
        <w:t>CareerWay addresses these problems by offering: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AI-powered career chat</w:t>
      </w:r>
      <w:r>
        <w:rPr>
          <w:sz w:val="36"/>
        </w:rPr>
        <w:t xml:space="preserve"> – Understands student interests and recommends the best career paths.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Career roadmap builder</w:t>
      </w:r>
      <w:r>
        <w:rPr>
          <w:sz w:val="36"/>
        </w:rPr>
        <w:t xml:space="preserve"> – Step-by-step guide on how to reach the chosen career.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Scholarship &amp; Internship aggregator</w:t>
      </w:r>
      <w:r>
        <w:rPr>
          <w:sz w:val="36"/>
        </w:rPr>
        <w:t xml:space="preserve"> – Helps students find real-time opportunities.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Gamified career exploration</w:t>
      </w:r>
      <w:r>
        <w:rPr>
          <w:sz w:val="36"/>
        </w:rPr>
        <w:t xml:space="preserve"> – Career mini-games allow hands-on experience of different roles.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Multi-language support</w:t>
      </w:r>
      <w:r>
        <w:rPr>
          <w:sz w:val="36"/>
        </w:rPr>
        <w:t>– Expands accessibility to students in different regions.</w:t>
      </w:r>
    </w:p>
    <w:sectPr w:rsidR="00FC693F" w:rsidRPr="0006063C" w:rsidSect="00034616">
      <w:docGrid w:linePitch="360"/>
      <w:pgSz w:w="12240" w:h="15840"/>
      <w:pgMar w:left="1800" w:right="1800" w:top="1440" w:bottom="1440" w:header="720" w:footer="720" w:gutter="0"/>
      <w:cols w:space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singleLevel"/>
    <w:nsid w:val="FFFFFF7C"/>
    <w:tmpl w:val="C310EC42"/>
    <w:lvl w:ilvl="0">
      <w:numFmt w:val="decimal"/>
      <w:lvlText w:val="%1."/>
      <w:start w:val="1"/>
      <w:pPr>
        <w:ind w:left="1800"/>
        <w:ind w:hanging="360"/>
        <w:tabs>
          <w:tab w:val="num" w:pos="1800"/>
        </w:tabs>
      </w:pPr>
      <w:lvlJc w:val="left"/>
    </w:lvl>
  </w:abstractNum>
  <w:abstractNum w:abstractNumId="1">
    <w:multiLevelType w:val="singleLevel"/>
    <w:nsid w:val="FFFFFF7D"/>
    <w:tmpl w:val="E4089024"/>
    <w:lvl w:ilvl="0">
      <w:numFmt w:val="decimal"/>
      <w:lvlText w:val="%1."/>
      <w:start w:val="1"/>
      <w:pPr>
        <w:ind w:left="1440"/>
        <w:ind w:hanging="360"/>
        <w:tabs>
          <w:tab w:val="num" w:pos="1440"/>
        </w:tabs>
      </w:pPr>
      <w:lvlJc w:val="left"/>
    </w:lvl>
  </w:abstractNum>
  <w:abstractNum w:abstractNumId="2">
    <w:multiLevelType w:val="singleLevel"/>
    <w:nsid w:val="FFFFFF7E"/>
    <w:tmpl w:val="FB12693A"/>
    <w:lvl w:ilvl="0">
      <w:numFmt w:val="decimal"/>
      <w:lvlText w:val="%1."/>
      <w:start w:val="1"/>
      <w:pPr>
        <w:ind w:left="1080"/>
        <w:ind w:hanging="360"/>
        <w:tabs>
          <w:tab w:val="num" w:pos="1080"/>
        </w:tabs>
      </w:pPr>
      <w:pStyle w:val="ListNumber3"/>
      <w:lvlJc w:val="left"/>
    </w:lvl>
  </w:abstractNum>
  <w:abstractNum w:abstractNumId="3">
    <w:multiLevelType w:val="singleLevel"/>
    <w:nsid w:val="FFFFFF7F"/>
    <w:tmpl w:val="38441652"/>
    <w:lvl w:ilvl="0">
      <w:numFmt w:val="decimal"/>
      <w:lvlText w:val="%1."/>
      <w:start w:val="1"/>
      <w:pPr>
        <w:ind w:left="720"/>
        <w:ind w:hanging="360"/>
        <w:tabs>
          <w:tab w:val="num" w:pos="720"/>
        </w:tabs>
      </w:pPr>
      <w:pStyle w:val="ListNumber2"/>
      <w:lvlJc w:val="left"/>
    </w:lvl>
  </w:abstractNum>
  <w:abstractNum w:abstractNumId="4">
    <w:multiLevelType w:val="singleLevel"/>
    <w:nsid w:val="FFFFFF81"/>
    <w:tmpl w:val="171AC3A4"/>
    <w:lvl w:ilvl="0">
      <w:numFmt w:val="bullet"/>
      <w:lvlText w:val=""/>
      <w:start w:val="1"/>
      <w:rPr>
        <w:rFonts w:ascii="Symbol" w:hAnsi="Symbol" w:hint="default"/>
      </w:rPr>
      <w:pPr>
        <w:ind w:left="1440"/>
        <w:ind w:hanging="360"/>
        <w:tabs>
          <w:tab w:val="num" w:pos="1440"/>
        </w:tabs>
      </w:pPr>
      <w:lvlJc w:val="left"/>
    </w:lvl>
  </w:abstractNum>
  <w:abstractNum w:abstractNumId="5">
    <w:multiLevelType w:val="singleLevel"/>
    <w:nsid w:val="FFFFFF82"/>
    <w:tmpl w:val="F3EAFDEC"/>
    <w:lvl w:ilvl="0">
      <w:numFmt w:val="bullet"/>
      <w:lvlText w:val=""/>
      <w:start w:val="1"/>
      <w:rPr>
        <w:rFonts w:ascii="Symbol" w:hAnsi="Symbol" w:hint="default"/>
      </w:rPr>
      <w:pPr>
        <w:ind w:left="1080"/>
        <w:ind w:hanging="360"/>
        <w:tabs>
          <w:tab w:val="num" w:pos="1080"/>
        </w:tabs>
      </w:pPr>
      <w:pStyle w:val="ListBullet3"/>
      <w:lvlJc w:val="left"/>
    </w:lvl>
  </w:abstractNum>
  <w:abstractNum w:abstractNumId="6">
    <w:multiLevelType w:val="singleLevel"/>
    <w:nsid w:val="FFFFFF83"/>
    <w:tmpl w:val="3D1EFFD4"/>
    <w:lvl w:ilvl="0">
      <w:numFmt w:val="bullet"/>
      <w:lvlText w:val=""/>
      <w:start w:val="1"/>
      <w:rPr>
        <w:rFonts w:ascii="Symbol" w:hAnsi="Symbol" w:hint="default"/>
      </w:rPr>
      <w:pPr>
        <w:ind w:left="720"/>
        <w:ind w:hanging="360"/>
        <w:tabs>
          <w:tab w:val="num" w:pos="720"/>
        </w:tabs>
      </w:pPr>
      <w:pStyle w:val="ListBullet2"/>
      <w:lvlJc w:val="left"/>
    </w:lvl>
  </w:abstractNum>
  <w:abstractNum w:abstractNumId="7">
    <w:multiLevelType w:val="singleLevel"/>
    <w:nsid w:val="FFFFFF88"/>
    <w:tmpl w:val="D0A62B40"/>
    <w:lvl w:ilvl="0">
      <w:numFmt w:val="decimal"/>
      <w:lvlText w:val="%1."/>
      <w:start w:val="1"/>
      <w:pPr>
        <w:ind w:left="360"/>
        <w:ind w:hanging="360"/>
        <w:tabs>
          <w:tab w:val="num" w:pos="360"/>
        </w:tabs>
      </w:pPr>
      <w:pStyle w:val="ListNumber"/>
      <w:lvlJc w:val="left"/>
    </w:lvl>
  </w:abstractNum>
  <w:abstractNum w:abstractNumId="8">
    <w:multiLevelType w:val="singleLevel"/>
    <w:nsid w:val="FFFFFF89"/>
    <w:tmpl w:val="29761A62"/>
    <w:lvl w:ilvl="0">
      <w:numFmt w:val="bullet"/>
      <w:lvlText w:val=""/>
      <w:start w:val="1"/>
      <w:rPr>
        <w:rFonts w:ascii="Symbol" w:hAnsi="Symbol" w:hint="default"/>
      </w:rPr>
      <w:pPr>
        <w:ind w:left="360"/>
        <w:ind w:hanging="360"/>
        <w:tabs>
          <w:tab w:val="num" w:pos="360"/>
        </w:tabs>
      </w:pPr>
      <w:pStyle w:val="ListBullet"/>
      <w:lvlJc w:val="left"/>
    </w:lvl>
  </w:abstractNum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rsids>
    <w:rsidRoot val="00B47730"/>
    <w:rsid val="00034616"/>
    <w:rsid val="0006063C"/>
    <w:rsid val="0015074B"/>
    <w:rsid val="0029639D"/>
    <w:rsid val="00326F90"/>
    <w:rsid val="00AA1D8D"/>
    <w:rsid val="00B47730"/>
    <w:rsid val="00CB0664"/>
    <w:rsid val="00FC693F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