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64" w:type="dxa"/>
        <w:tblCellSpacing w:w="15" w:type="dxa"/>
        <w:tblInd w:w="-21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6313"/>
        <w:gridCol w:w="3751"/>
      </w:tblGrid>
      <w:tr w:rsidR="0044226B" w:rsidRPr="001A41FE" w14:paraId="64306C20" w14:textId="77777777" w:rsidTr="00BE2292">
        <w:trPr>
          <w:trHeight w:val="297"/>
          <w:tblCellSpacing w:w="15" w:type="dxa"/>
        </w:trPr>
        <w:tc>
          <w:tcPr>
            <w:tcW w:w="6268" w:type="dxa"/>
            <w:tcBorders>
              <w:top w:val="outset" w:sz="6" w:space="0" w:color="auto"/>
              <w:left w:val="outset" w:sz="6" w:space="0" w:color="auto"/>
              <w:bottom w:val="outset" w:sz="6" w:space="0" w:color="auto"/>
              <w:right w:val="outset" w:sz="6" w:space="0" w:color="auto"/>
            </w:tcBorders>
            <w:shd w:val="clear" w:color="auto" w:fill="BFCECD"/>
            <w:vAlign w:val="center"/>
          </w:tcPr>
          <w:p w14:paraId="10E477AB" w14:textId="7402C7B7" w:rsidR="0044226B" w:rsidRPr="001A41FE" w:rsidRDefault="0044226B" w:rsidP="00692D01">
            <w:pPr>
              <w:spacing w:after="0" w:line="240" w:lineRule="auto"/>
              <w:rPr>
                <w:rFonts w:ascii="Times New Roman" w:eastAsia="Times New Roman" w:hAnsi="Times New Roman"/>
              </w:rPr>
            </w:pPr>
            <w:r w:rsidRPr="001A41FE">
              <w:rPr>
                <w:rFonts w:ascii="Times New Roman" w:eastAsia="Times New Roman" w:hAnsi="Times New Roman"/>
                <w:b/>
                <w:bCs/>
              </w:rPr>
              <w:t xml:space="preserve">I/UCRC Executive Summary </w:t>
            </w:r>
          </w:p>
        </w:tc>
        <w:tc>
          <w:tcPr>
            <w:tcW w:w="3706" w:type="dxa"/>
            <w:tcBorders>
              <w:top w:val="outset" w:sz="6" w:space="0" w:color="auto"/>
              <w:left w:val="outset" w:sz="6" w:space="0" w:color="auto"/>
              <w:bottom w:val="outset" w:sz="6" w:space="0" w:color="auto"/>
              <w:right w:val="outset" w:sz="6" w:space="0" w:color="auto"/>
            </w:tcBorders>
            <w:shd w:val="clear" w:color="auto" w:fill="BFCECD"/>
            <w:vAlign w:val="center"/>
          </w:tcPr>
          <w:p w14:paraId="27CFA66D" w14:textId="50FAF988" w:rsidR="0044226B" w:rsidRPr="001A41FE" w:rsidRDefault="0044226B" w:rsidP="0073564A">
            <w:pPr>
              <w:spacing w:after="0" w:line="240" w:lineRule="auto"/>
              <w:rPr>
                <w:rFonts w:ascii="Times New Roman" w:eastAsia="Times New Roman" w:hAnsi="Times New Roman"/>
              </w:rPr>
            </w:pPr>
            <w:r w:rsidRPr="001A41FE">
              <w:rPr>
                <w:rFonts w:ascii="Times New Roman" w:eastAsia="Times New Roman" w:hAnsi="Times New Roman"/>
                <w:b/>
              </w:rPr>
              <w:t>Date</w:t>
            </w:r>
            <w:r w:rsidRPr="001A41FE">
              <w:rPr>
                <w:rFonts w:ascii="Times New Roman" w:eastAsia="Times New Roman" w:hAnsi="Times New Roman"/>
              </w:rPr>
              <w:t>:</w:t>
            </w:r>
            <w:r w:rsidR="00B45D7C" w:rsidRPr="001A41FE">
              <w:rPr>
                <w:rFonts w:ascii="Times New Roman" w:eastAsia="Times New Roman" w:hAnsi="Times New Roman"/>
              </w:rPr>
              <w:t xml:space="preserve"> </w:t>
            </w:r>
            <w:r w:rsidR="00C32E5F">
              <w:rPr>
                <w:rFonts w:ascii="Times New Roman" w:eastAsia="Times New Roman" w:hAnsi="Times New Roman"/>
              </w:rPr>
              <w:t>April 15, 2020</w:t>
            </w:r>
          </w:p>
        </w:tc>
      </w:tr>
      <w:tr w:rsidR="004C5AC6" w:rsidRPr="001A41FE" w14:paraId="776C05D1" w14:textId="77777777" w:rsidTr="00BE2292">
        <w:trPr>
          <w:trHeight w:val="293"/>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4E142F6B" w14:textId="3B6BB343" w:rsidR="004C5AC6" w:rsidRPr="001A41FE" w:rsidRDefault="004C5AC6" w:rsidP="00012290">
            <w:pPr>
              <w:spacing w:after="0" w:line="220" w:lineRule="exact"/>
              <w:rPr>
                <w:rFonts w:ascii="Times New Roman" w:eastAsia="Times New Roman" w:hAnsi="Times New Roman"/>
                <w:b/>
                <w:bCs/>
              </w:rPr>
            </w:pPr>
            <w:r w:rsidRPr="001A41FE">
              <w:rPr>
                <w:rFonts w:ascii="Times New Roman" w:eastAsia="Times New Roman" w:hAnsi="Times New Roman"/>
                <w:b/>
                <w:bCs/>
              </w:rPr>
              <w:t>Title:</w:t>
            </w:r>
            <w:r w:rsidR="00407A70" w:rsidRPr="001A41FE">
              <w:rPr>
                <w:rFonts w:ascii="Times New Roman" w:hAnsi="Times New Roman"/>
              </w:rPr>
              <w:t xml:space="preserve"> Understanding the utility of archived tag-recapture data for evaluation of movement and mortality estimation</w:t>
            </w:r>
          </w:p>
        </w:tc>
      </w:tr>
      <w:tr w:rsidR="004C5AC6" w:rsidRPr="001A41FE" w14:paraId="113BF500" w14:textId="77777777" w:rsidTr="00BE2292">
        <w:trPr>
          <w:trHeight w:val="293"/>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6317559B" w14:textId="70836051" w:rsidR="004C5AC6" w:rsidRPr="001A41FE" w:rsidRDefault="004C5AC6" w:rsidP="00012290">
            <w:pPr>
              <w:spacing w:after="0" w:line="220" w:lineRule="exact"/>
              <w:rPr>
                <w:rFonts w:ascii="Times New Roman" w:eastAsia="Times New Roman" w:hAnsi="Times New Roman"/>
                <w:b/>
                <w:bCs/>
              </w:rPr>
            </w:pPr>
            <w:r w:rsidRPr="001A41FE">
              <w:rPr>
                <w:rFonts w:ascii="Times New Roman" w:eastAsia="Times New Roman" w:hAnsi="Times New Roman"/>
                <w:b/>
                <w:bCs/>
              </w:rPr>
              <w:t>PI:</w:t>
            </w:r>
            <w:r w:rsidR="00553EE7">
              <w:rPr>
                <w:rFonts w:ascii="Times New Roman" w:eastAsia="Times New Roman" w:hAnsi="Times New Roman"/>
                <w:b/>
                <w:bCs/>
              </w:rPr>
              <w:t xml:space="preserve"> </w:t>
            </w:r>
            <w:r w:rsidR="00407A70" w:rsidRPr="001A41FE">
              <w:rPr>
                <w:rFonts w:ascii="Times New Roman" w:eastAsia="Times New Roman" w:hAnsi="Times New Roman"/>
                <w:b/>
                <w:bCs/>
              </w:rPr>
              <w:t>Robert Leaf</w:t>
            </w:r>
          </w:p>
        </w:tc>
      </w:tr>
      <w:tr w:rsidR="0044226B" w:rsidRPr="001A41FE" w14:paraId="11892D12" w14:textId="77777777" w:rsidTr="00BE2292">
        <w:trPr>
          <w:trHeight w:val="293"/>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30B1013C" w14:textId="291AD00D" w:rsidR="0044226B" w:rsidRPr="001A41FE" w:rsidRDefault="004C5AC6" w:rsidP="00012290">
            <w:pPr>
              <w:spacing w:after="0" w:line="220" w:lineRule="exact"/>
              <w:rPr>
                <w:rFonts w:ascii="Times New Roman" w:eastAsia="Times New Roman" w:hAnsi="Times New Roman"/>
              </w:rPr>
            </w:pPr>
            <w:r w:rsidRPr="001A41FE">
              <w:rPr>
                <w:rFonts w:ascii="Times New Roman" w:eastAsia="Times New Roman" w:hAnsi="Times New Roman"/>
                <w:b/>
                <w:bCs/>
              </w:rPr>
              <w:t>C</w:t>
            </w:r>
            <w:r w:rsidR="0044226B" w:rsidRPr="001A41FE">
              <w:rPr>
                <w:rFonts w:ascii="Times New Roman" w:eastAsia="Times New Roman" w:hAnsi="Times New Roman"/>
                <w:b/>
                <w:bCs/>
              </w:rPr>
              <w:t>enter/Site</w:t>
            </w:r>
            <w:r w:rsidR="0044226B" w:rsidRPr="001A41FE">
              <w:rPr>
                <w:rFonts w:ascii="Times New Roman" w:eastAsia="Times New Roman" w:hAnsi="Times New Roman"/>
              </w:rPr>
              <w:t xml:space="preserve">: </w:t>
            </w:r>
            <w:r w:rsidR="0044226B" w:rsidRPr="001A41FE">
              <w:rPr>
                <w:rFonts w:ascii="Times New Roman" w:eastAsia="Times New Roman" w:hAnsi="Times New Roman"/>
                <w:bCs/>
                <w:lang w:bidi="en-US"/>
              </w:rPr>
              <w:t>S</w:t>
            </w:r>
            <w:r w:rsidR="0044226B" w:rsidRPr="001A41FE">
              <w:rPr>
                <w:rFonts w:ascii="Times New Roman" w:eastAsia="Times New Roman" w:hAnsi="Times New Roman"/>
                <w:lang w:bidi="en-US"/>
              </w:rPr>
              <w:t xml:space="preserve">cience </w:t>
            </w:r>
            <w:r w:rsidR="0044226B" w:rsidRPr="001A41FE">
              <w:rPr>
                <w:rFonts w:ascii="Times New Roman" w:eastAsia="Times New Roman" w:hAnsi="Times New Roman"/>
                <w:bCs/>
                <w:lang w:bidi="en-US"/>
              </w:rPr>
              <w:t>Ce</w:t>
            </w:r>
            <w:r w:rsidR="0044226B" w:rsidRPr="001A41FE">
              <w:rPr>
                <w:rFonts w:ascii="Times New Roman" w:eastAsia="Times New Roman" w:hAnsi="Times New Roman"/>
                <w:lang w:bidi="en-US"/>
              </w:rPr>
              <w:t xml:space="preserve">nter for </w:t>
            </w:r>
            <w:r w:rsidR="0044226B" w:rsidRPr="001A41FE">
              <w:rPr>
                <w:rFonts w:ascii="Times New Roman" w:eastAsia="Times New Roman" w:hAnsi="Times New Roman"/>
                <w:bCs/>
                <w:lang w:bidi="en-US"/>
              </w:rPr>
              <w:t>M</w:t>
            </w:r>
            <w:r w:rsidR="0044226B" w:rsidRPr="001A41FE">
              <w:rPr>
                <w:rFonts w:ascii="Times New Roman" w:eastAsia="Times New Roman" w:hAnsi="Times New Roman"/>
                <w:lang w:bidi="en-US"/>
              </w:rPr>
              <w:t xml:space="preserve">arine </w:t>
            </w:r>
            <w:r w:rsidR="0044226B" w:rsidRPr="001A41FE">
              <w:rPr>
                <w:rFonts w:ascii="Times New Roman" w:eastAsia="Times New Roman" w:hAnsi="Times New Roman"/>
                <w:bCs/>
                <w:lang w:bidi="en-US"/>
              </w:rPr>
              <w:t>Fis</w:t>
            </w:r>
            <w:r w:rsidR="0044226B" w:rsidRPr="001A41FE">
              <w:rPr>
                <w:rFonts w:ascii="Times New Roman" w:eastAsia="Times New Roman" w:hAnsi="Times New Roman"/>
                <w:lang w:bidi="en-US"/>
              </w:rPr>
              <w:t>heries (SCeMFiS)</w:t>
            </w:r>
          </w:p>
        </w:tc>
      </w:tr>
      <w:tr w:rsidR="0044226B" w:rsidRPr="001A41FE" w14:paraId="25E8650A" w14:textId="77777777" w:rsidTr="00BE2292">
        <w:trPr>
          <w:trHeight w:val="1910"/>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6865D6A5" w14:textId="00BA53EF" w:rsidR="00432CB4" w:rsidRPr="001A41FE" w:rsidRDefault="00432CB4" w:rsidP="004275E3">
            <w:pPr>
              <w:autoSpaceDE w:val="0"/>
              <w:autoSpaceDN w:val="0"/>
              <w:adjustRightInd w:val="0"/>
              <w:spacing w:after="0" w:line="240" w:lineRule="auto"/>
              <w:rPr>
                <w:rFonts w:ascii="Times New Roman" w:hAnsi="Times New Roman"/>
              </w:rPr>
            </w:pPr>
            <w:r w:rsidRPr="001A41FE">
              <w:rPr>
                <w:rFonts w:ascii="Times New Roman" w:eastAsia="Times New Roman" w:hAnsi="Times New Roman"/>
                <w:b/>
                <w:bCs/>
              </w:rPr>
              <w:t>Statement of Problem</w:t>
            </w:r>
            <w:r w:rsidR="0044226B" w:rsidRPr="001A41FE">
              <w:rPr>
                <w:rFonts w:ascii="Times New Roman" w:eastAsia="Times New Roman" w:hAnsi="Times New Roman"/>
              </w:rPr>
              <w:t xml:space="preserve">: </w:t>
            </w:r>
            <w:r w:rsidR="004D7E7C">
              <w:rPr>
                <w:rFonts w:ascii="Times New Roman" w:eastAsia="Times New Roman" w:hAnsi="Times New Roman"/>
              </w:rPr>
              <w:t>The most recent</w:t>
            </w:r>
            <w:r w:rsidR="00E876C8" w:rsidRPr="001A41FE">
              <w:rPr>
                <w:rFonts w:ascii="Times New Roman" w:hAnsi="Times New Roman"/>
              </w:rPr>
              <w:t xml:space="preserve"> Gulf Menhaden Stock Assessment report recommended replicating the tagging work</w:t>
            </w:r>
            <w:r w:rsidR="004D7E7C">
              <w:rPr>
                <w:rFonts w:ascii="Times New Roman" w:hAnsi="Times New Roman"/>
              </w:rPr>
              <w:t xml:space="preserve"> </w:t>
            </w:r>
            <w:r w:rsidR="00E876C8" w:rsidRPr="001A41FE">
              <w:rPr>
                <w:rFonts w:ascii="Times New Roman" w:hAnsi="Times New Roman"/>
              </w:rPr>
              <w:t xml:space="preserve">performed by NOAA scientists, which were extensive: Ahrenholz tagged 237,000 </w:t>
            </w:r>
            <w:r w:rsidR="00E876C8" w:rsidRPr="001A41FE">
              <w:rPr>
                <w:rFonts w:ascii="Times New Roman" w:hAnsi="Times New Roman"/>
                <w:i/>
                <w:iCs/>
              </w:rPr>
              <w:t xml:space="preserve">B. patronus </w:t>
            </w:r>
            <w:r w:rsidR="00E876C8" w:rsidRPr="001A41FE">
              <w:rPr>
                <w:rFonts w:ascii="Times New Roman" w:hAnsi="Times New Roman"/>
              </w:rPr>
              <w:t>from 1970 to 1985. These studies involved tagging juveniles and</w:t>
            </w:r>
            <w:r w:rsidR="004275E3">
              <w:rPr>
                <w:rFonts w:ascii="Times New Roman" w:hAnsi="Times New Roman"/>
              </w:rPr>
              <w:t xml:space="preserve"> </w:t>
            </w:r>
            <w:r w:rsidR="00E876C8" w:rsidRPr="001A41FE">
              <w:rPr>
                <w:rFonts w:ascii="Times New Roman" w:hAnsi="Times New Roman"/>
              </w:rPr>
              <w:t xml:space="preserve">adults with internal, individually-numbered tags that were recovered </w:t>
            </w:r>
            <w:r w:rsidR="004275E3">
              <w:rPr>
                <w:rFonts w:ascii="Times New Roman" w:hAnsi="Times New Roman"/>
              </w:rPr>
              <w:t xml:space="preserve"> by the commercial fisheries</w:t>
            </w:r>
            <w:r w:rsidR="00E876C8" w:rsidRPr="001A41FE">
              <w:rPr>
                <w:rFonts w:ascii="Times New Roman" w:hAnsi="Times New Roman"/>
              </w:rPr>
              <w:t xml:space="preserve">. </w:t>
            </w:r>
            <w:r w:rsidR="004275E3">
              <w:rPr>
                <w:rFonts w:ascii="Times New Roman" w:hAnsi="Times New Roman"/>
              </w:rPr>
              <w:t>L</w:t>
            </w:r>
            <w:r w:rsidR="00E876C8" w:rsidRPr="001A41FE">
              <w:rPr>
                <w:rFonts w:ascii="Times New Roman" w:hAnsi="Times New Roman"/>
              </w:rPr>
              <w:t>eaps in the computational power and statistical modeling approaches in</w:t>
            </w:r>
            <w:r w:rsidR="004275E3">
              <w:rPr>
                <w:rFonts w:ascii="Times New Roman" w:hAnsi="Times New Roman"/>
              </w:rPr>
              <w:t xml:space="preserve"> </w:t>
            </w:r>
            <w:r w:rsidR="00E876C8" w:rsidRPr="001A41FE">
              <w:rPr>
                <w:rFonts w:ascii="Times New Roman" w:hAnsi="Times New Roman"/>
              </w:rPr>
              <w:t xml:space="preserve">has made re-analysis of the previously collected data a very worthwhile endeavor. </w:t>
            </w:r>
          </w:p>
        </w:tc>
      </w:tr>
      <w:tr w:rsidR="0044226B" w:rsidRPr="001A41FE" w14:paraId="3E85B8CE" w14:textId="77777777" w:rsidTr="00BE2292">
        <w:trPr>
          <w:trHeight w:val="2047"/>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5F78F617" w14:textId="709DCB0D" w:rsidR="00432CB4" w:rsidRPr="001A41FE" w:rsidRDefault="0044226B" w:rsidP="00AE4AF9">
            <w:pPr>
              <w:autoSpaceDE w:val="0"/>
              <w:autoSpaceDN w:val="0"/>
              <w:adjustRightInd w:val="0"/>
              <w:spacing w:after="0" w:line="240" w:lineRule="auto"/>
              <w:rPr>
                <w:rFonts w:ascii="Times New Roman" w:hAnsi="Times New Roman"/>
              </w:rPr>
            </w:pPr>
            <w:r w:rsidRPr="001A41FE">
              <w:rPr>
                <w:rFonts w:ascii="Times New Roman" w:eastAsia="Times New Roman" w:hAnsi="Times New Roman"/>
                <w:b/>
                <w:bCs/>
              </w:rPr>
              <w:t xml:space="preserve"> </w:t>
            </w:r>
            <w:r w:rsidR="00432CB4" w:rsidRPr="001A41FE">
              <w:rPr>
                <w:rFonts w:ascii="Times New Roman" w:eastAsia="Times New Roman" w:hAnsi="Times New Roman"/>
                <w:b/>
                <w:bCs/>
              </w:rPr>
              <w:t>Deliverables</w:t>
            </w:r>
            <w:r w:rsidRPr="001A41FE">
              <w:rPr>
                <w:rFonts w:ascii="Times New Roman" w:eastAsia="Times New Roman" w:hAnsi="Times New Roman"/>
              </w:rPr>
              <w:t>:</w:t>
            </w:r>
            <w:r w:rsidR="00A002B7" w:rsidRPr="001A41FE">
              <w:rPr>
                <w:rFonts w:ascii="Times New Roman" w:eastAsia="Times New Roman" w:hAnsi="Times New Roman"/>
              </w:rPr>
              <w:t xml:space="preserve"> </w:t>
            </w:r>
            <w:r w:rsidR="00AE4AF9" w:rsidRPr="001A41FE">
              <w:rPr>
                <w:rFonts w:ascii="Times New Roman" w:hAnsi="Times New Roman"/>
              </w:rPr>
              <w:t xml:space="preserve">We </w:t>
            </w:r>
            <w:r w:rsidR="004275E3">
              <w:rPr>
                <w:rFonts w:ascii="Times New Roman" w:hAnsi="Times New Roman"/>
              </w:rPr>
              <w:t xml:space="preserve">have </w:t>
            </w:r>
            <w:r w:rsidR="00AE4AF9" w:rsidRPr="001A41FE">
              <w:rPr>
                <w:rFonts w:ascii="Times New Roman" w:hAnsi="Times New Roman"/>
              </w:rPr>
              <w:t>partner</w:t>
            </w:r>
            <w:r w:rsidR="004275E3">
              <w:rPr>
                <w:rFonts w:ascii="Times New Roman" w:hAnsi="Times New Roman"/>
              </w:rPr>
              <w:t>ed</w:t>
            </w:r>
            <w:r w:rsidR="00AE4AF9" w:rsidRPr="001A41FE">
              <w:rPr>
                <w:rFonts w:ascii="Times New Roman" w:hAnsi="Times New Roman"/>
              </w:rPr>
              <w:t xml:space="preserve"> with</w:t>
            </w:r>
            <w:r w:rsidR="004275E3">
              <w:rPr>
                <w:rFonts w:ascii="Times New Roman" w:hAnsi="Times New Roman"/>
              </w:rPr>
              <w:t xml:space="preserve"> Dr. Amy Schueller</w:t>
            </w:r>
            <w:r w:rsidR="00AE4AF9" w:rsidRPr="001A41FE">
              <w:rPr>
                <w:rFonts w:ascii="Times New Roman" w:hAnsi="Times New Roman"/>
              </w:rPr>
              <w:t xml:space="preserve"> NOAA scientists at the Beaufort Lab to understand the feasibility of a comprehensive reanalysis of the tag and recapture data. Our primary focus will be to catalog, organize, and summarize the paper records held by NOAA at Beaufort. The primary focus will be to evaluate the paper data for completeness for the Gulf of Mexico Menhaden Stock.</w:t>
            </w:r>
            <w:r w:rsidR="00AE4AF9" w:rsidRPr="001A41FE">
              <w:rPr>
                <w:rFonts w:ascii="Times New Roman" w:eastAsia="Times New Roman" w:hAnsi="Times New Roman"/>
              </w:rPr>
              <w:t xml:space="preserve"> Milestones include (1) acquisition of necessary, existing data resources, (2) Quality assurance and quality control, (</w:t>
            </w:r>
            <w:r w:rsidR="00166ADE" w:rsidRPr="001A41FE">
              <w:rPr>
                <w:rFonts w:ascii="Times New Roman" w:eastAsia="Times New Roman" w:hAnsi="Times New Roman"/>
              </w:rPr>
              <w:t>3</w:t>
            </w:r>
            <w:r w:rsidR="00AE4AF9" w:rsidRPr="001A41FE">
              <w:rPr>
                <w:rFonts w:ascii="Times New Roman" w:eastAsia="Times New Roman" w:hAnsi="Times New Roman"/>
              </w:rPr>
              <w:t>) Evaluation of utility.</w:t>
            </w:r>
          </w:p>
        </w:tc>
      </w:tr>
      <w:tr w:rsidR="0044226B" w:rsidRPr="001A41FE" w14:paraId="105EC0D0" w14:textId="77777777" w:rsidTr="00BE2292">
        <w:trPr>
          <w:trHeight w:val="461"/>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2B0F989E" w14:textId="5A225761" w:rsidR="00B53E69" w:rsidRPr="001A41FE" w:rsidRDefault="00432CB4" w:rsidP="00BE2292">
            <w:pPr>
              <w:rPr>
                <w:rFonts w:ascii="Times New Roman" w:eastAsia="Times New Roman" w:hAnsi="Times New Roman"/>
              </w:rPr>
            </w:pPr>
            <w:r w:rsidRPr="004275E3">
              <w:rPr>
                <w:rFonts w:ascii="Times New Roman" w:hAnsi="Times New Roman"/>
                <w:b/>
                <w:bCs/>
              </w:rPr>
              <w:t>Status relative to deliverables</w:t>
            </w:r>
            <w:r w:rsidR="0044226B" w:rsidRPr="004275E3">
              <w:rPr>
                <w:rFonts w:ascii="Times New Roman" w:hAnsi="Times New Roman"/>
                <w:b/>
              </w:rPr>
              <w:t>:</w:t>
            </w:r>
            <w:r w:rsidR="00AE4AF9" w:rsidRPr="004275E3">
              <w:rPr>
                <w:rFonts w:ascii="Times New Roman" w:hAnsi="Times New Roman"/>
                <w:b/>
              </w:rPr>
              <w:t xml:space="preserve"> </w:t>
            </w:r>
            <w:r w:rsidR="004275E3" w:rsidRPr="004275E3">
              <w:rPr>
                <w:rFonts w:ascii="Times New Roman" w:hAnsi="Times New Roman"/>
              </w:rPr>
              <w:t>We have completed each of the deliverables and have prepared a report “</w:t>
            </w:r>
            <w:r w:rsidR="004275E3" w:rsidRPr="004275E3">
              <w:rPr>
                <w:rFonts w:ascii="Times New Roman" w:hAnsi="Times New Roman"/>
              </w:rPr>
              <w:t>Gulf-Menhaden-Tag-Recapture-Project-Summary.pdf</w:t>
            </w:r>
            <w:r w:rsidR="004275E3" w:rsidRPr="004275E3">
              <w:rPr>
                <w:rFonts w:ascii="Times New Roman" w:hAnsi="Times New Roman"/>
              </w:rPr>
              <w:t>”, that can be accessed here (</w:t>
            </w:r>
            <w:hyperlink r:id="rId5" w:history="1">
              <w:r w:rsidR="004275E3" w:rsidRPr="004275E3">
                <w:rPr>
                  <w:rStyle w:val="Hyperlink"/>
                  <w:rFonts w:ascii="Times New Roman" w:hAnsi="Times New Roman"/>
                </w:rPr>
                <w:t>https://github.com/rtleaf/Gulf-Menhaden-Tag-Recapture</w:t>
              </w:r>
            </w:hyperlink>
            <w:r w:rsidR="004275E3" w:rsidRPr="004275E3">
              <w:rPr>
                <w:rFonts w:ascii="Times New Roman" w:hAnsi="Times New Roman"/>
              </w:rPr>
              <w:t xml:space="preserve">). </w:t>
            </w:r>
            <w:r w:rsidR="00BE2292">
              <w:rPr>
                <w:rFonts w:ascii="Times New Roman" w:hAnsi="Times New Roman"/>
              </w:rPr>
              <w:t>The data are formatted for inclusion into tag-recapture models and have been fully QA/QC’d.</w:t>
            </w:r>
            <w:bookmarkStart w:id="0" w:name="_GoBack"/>
            <w:bookmarkEnd w:id="0"/>
          </w:p>
        </w:tc>
      </w:tr>
      <w:tr w:rsidR="0044226B" w:rsidRPr="001A41FE" w14:paraId="0EB26C7A" w14:textId="77777777" w:rsidTr="00BE2292">
        <w:trPr>
          <w:trHeight w:val="472"/>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1E17B61E" w14:textId="3FF3A8B5" w:rsidR="00407A70" w:rsidRPr="001A41FE" w:rsidRDefault="00432CB4" w:rsidP="00BE2292">
            <w:pPr>
              <w:spacing w:before="100" w:beforeAutospacing="1" w:after="100" w:afterAutospacing="1" w:line="220" w:lineRule="exact"/>
              <w:rPr>
                <w:rFonts w:ascii="Times New Roman" w:eastAsia="Times New Roman" w:hAnsi="Times New Roman"/>
              </w:rPr>
            </w:pPr>
            <w:r w:rsidRPr="001A41FE">
              <w:rPr>
                <w:rFonts w:ascii="Times New Roman" w:eastAsia="Times New Roman" w:hAnsi="Times New Roman"/>
                <w:b/>
              </w:rPr>
              <w:t>Summary of results relative to deliverables</w:t>
            </w:r>
            <w:r w:rsidR="0044226B" w:rsidRPr="001A41FE">
              <w:rPr>
                <w:rFonts w:ascii="Times New Roman" w:eastAsia="Times New Roman" w:hAnsi="Times New Roman"/>
                <w:b/>
              </w:rPr>
              <w:t>:</w:t>
            </w:r>
            <w:r w:rsidR="00BE2292">
              <w:rPr>
                <w:rFonts w:ascii="Times New Roman" w:eastAsia="Times New Roman" w:hAnsi="Times New Roman"/>
                <w:b/>
              </w:rPr>
              <w:t xml:space="preserve"> </w:t>
            </w:r>
            <w:r w:rsidR="00BE2292" w:rsidRPr="00BE2292">
              <w:rPr>
                <w:rFonts w:ascii="Times New Roman" w:eastAsia="Times New Roman" w:hAnsi="Times New Roman"/>
                <w:bCs/>
              </w:rPr>
              <w:t>Three primary sources of data were identified</w:t>
            </w:r>
            <w:r w:rsidR="00BE2292">
              <w:rPr>
                <w:rFonts w:ascii="Times New Roman" w:eastAsia="Times New Roman" w:hAnsi="Times New Roman"/>
                <w:bCs/>
              </w:rPr>
              <w:t xml:space="preserve">: </w:t>
            </w:r>
            <w:r w:rsidR="00BE2292" w:rsidRPr="00BE2292">
              <w:rPr>
                <w:rFonts w:ascii="Times New Roman" w:eastAsia="Times New Roman" w:hAnsi="Times New Roman"/>
                <w:bCs/>
              </w:rPr>
              <w:t>The tag and recapture histories of adult and juvenile individuals</w:t>
            </w:r>
            <w:r w:rsidR="00BE2292">
              <w:rPr>
                <w:rFonts w:ascii="Times New Roman" w:eastAsia="Times New Roman" w:hAnsi="Times New Roman"/>
                <w:bCs/>
              </w:rPr>
              <w:t xml:space="preserve">, magnet efficiency trials, and </w:t>
            </w:r>
            <w:r w:rsidR="00BE2292" w:rsidRPr="00BE2292">
              <w:rPr>
                <w:rFonts w:ascii="Times New Roman" w:eastAsia="Times New Roman" w:hAnsi="Times New Roman"/>
                <w:bCs/>
              </w:rPr>
              <w:t xml:space="preserve"> tag and recapture histories of adults with fork-length</w:t>
            </w:r>
            <w:r w:rsidR="00BE2292">
              <w:rPr>
                <w:rFonts w:ascii="Times New Roman" w:eastAsia="Times New Roman" w:hAnsi="Times New Roman"/>
                <w:bCs/>
              </w:rPr>
              <w:t xml:space="preserve">. </w:t>
            </w:r>
          </w:p>
        </w:tc>
      </w:tr>
      <w:tr w:rsidR="0044226B" w:rsidRPr="001A41FE" w14:paraId="65F1A53F" w14:textId="77777777" w:rsidTr="00BE2292">
        <w:trPr>
          <w:trHeight w:val="493"/>
          <w:tblCellSpacing w:w="15" w:type="dxa"/>
        </w:trPr>
        <w:tc>
          <w:tcPr>
            <w:tcW w:w="10004" w:type="dxa"/>
            <w:gridSpan w:val="2"/>
            <w:tcBorders>
              <w:top w:val="outset" w:sz="6" w:space="0" w:color="auto"/>
              <w:left w:val="outset" w:sz="6" w:space="0" w:color="auto"/>
              <w:bottom w:val="outset" w:sz="6" w:space="0" w:color="auto"/>
              <w:right w:val="outset" w:sz="6" w:space="0" w:color="auto"/>
            </w:tcBorders>
          </w:tcPr>
          <w:p w14:paraId="6DF8340C" w14:textId="1F691323" w:rsidR="003F03DE" w:rsidRPr="001A41FE" w:rsidRDefault="00432CB4" w:rsidP="00BE2292">
            <w:pPr>
              <w:pStyle w:val="NoSpacing"/>
            </w:pPr>
            <w:r w:rsidRPr="00BE2292">
              <w:rPr>
                <w:b/>
                <w:bCs/>
              </w:rPr>
              <w:t>Challenge</w:t>
            </w:r>
            <w:r w:rsidRPr="00BE2292">
              <w:rPr>
                <w:rFonts w:ascii="Times New Roman" w:hAnsi="Times New Roman"/>
                <w:b/>
                <w:bCs/>
              </w:rPr>
              <w:t>s to project completion and recommendations addressing the same:</w:t>
            </w:r>
            <w:r w:rsidR="00BE2292" w:rsidRPr="00BE2292">
              <w:rPr>
                <w:rFonts w:ascii="Times New Roman" w:hAnsi="Times New Roman"/>
                <w:b/>
                <w:bCs/>
              </w:rPr>
              <w:t xml:space="preserve"> </w:t>
            </w:r>
            <w:r w:rsidR="00BE2292" w:rsidRPr="00BE2292">
              <w:rPr>
                <w:rFonts w:ascii="Times New Roman" w:hAnsi="Times New Roman"/>
              </w:rPr>
              <w:t>In comparison to the magnitude of tagged and recaptured individuals used by Liljestrand et al., the data</w:t>
            </w:r>
            <w:r w:rsidR="00BE2292">
              <w:rPr>
                <w:rFonts w:ascii="Times New Roman" w:hAnsi="Times New Roman"/>
              </w:rPr>
              <w:t xml:space="preserve"> </w:t>
            </w:r>
            <w:r w:rsidR="00BE2292" w:rsidRPr="00BE2292">
              <w:rPr>
                <w:rFonts w:ascii="Times New Roman" w:hAnsi="Times New Roman"/>
              </w:rPr>
              <w:t>we have synthesized has fewer number of recaptures (</w:t>
            </w:r>
            <w:r w:rsidR="00BE2292">
              <w:rPr>
                <w:rFonts w:ascii="Times New Roman" w:hAnsi="Times New Roman"/>
              </w:rPr>
              <w:t xml:space="preserve">Leaf Report, </w:t>
            </w:r>
            <w:r w:rsidR="00BE2292" w:rsidRPr="00BE2292">
              <w:rPr>
                <w:rFonts w:ascii="Times New Roman" w:hAnsi="Times New Roman"/>
              </w:rPr>
              <w:t>Fig. 3, 4). However, the overall rate of recapture is</w:t>
            </w:r>
            <w:r w:rsidR="00BE2292">
              <w:rPr>
                <w:rFonts w:ascii="Times New Roman" w:hAnsi="Times New Roman"/>
              </w:rPr>
              <w:t xml:space="preserve"> </w:t>
            </w:r>
            <w:r w:rsidR="00BE2292" w:rsidRPr="00BE2292">
              <w:rPr>
                <w:rFonts w:ascii="Times New Roman" w:hAnsi="Times New Roman"/>
              </w:rPr>
              <w:t>generally high (Table 1 and 2) - fewer fish were tagged in the Gulf of Mexico, than in the mid-Atlantic.</w:t>
            </w:r>
            <w:r w:rsidR="00BE2292">
              <w:rPr>
                <w:rFonts w:ascii="Times New Roman" w:hAnsi="Times New Roman"/>
              </w:rPr>
              <w:t xml:space="preserve"> </w:t>
            </w:r>
            <w:r w:rsidR="00BE2292" w:rsidRPr="00BE2292">
              <w:rPr>
                <w:rFonts w:ascii="Times New Roman" w:hAnsi="Times New Roman"/>
              </w:rPr>
              <w:t xml:space="preserve">One difference in the modeling approach we </w:t>
            </w:r>
            <w:r w:rsidR="00BE2292" w:rsidRPr="00BE2292">
              <w:rPr>
                <w:rFonts w:ascii="Times New Roman" w:hAnsi="Times New Roman"/>
              </w:rPr>
              <w:t>propose</w:t>
            </w:r>
            <w:r w:rsidR="00BE2292" w:rsidRPr="00BE2292">
              <w:rPr>
                <w:rFonts w:ascii="Times New Roman" w:hAnsi="Times New Roman"/>
              </w:rPr>
              <w:t xml:space="preserve"> to use that contrasts that of Liljestrand et al. is that</w:t>
            </w:r>
            <w:r w:rsidR="00BE2292">
              <w:rPr>
                <w:rFonts w:ascii="Times New Roman" w:hAnsi="Times New Roman"/>
              </w:rPr>
              <w:t xml:space="preserve"> </w:t>
            </w:r>
            <w:r w:rsidR="00BE2292" w:rsidRPr="00BE2292">
              <w:rPr>
                <w:rFonts w:ascii="Times New Roman" w:hAnsi="Times New Roman"/>
              </w:rPr>
              <w:t>we will not estimate movement parameters - we don’t have geographic movement parameters in these data.</w:t>
            </w:r>
            <w:r w:rsidR="00BE2292">
              <w:rPr>
                <w:rFonts w:ascii="Times New Roman" w:hAnsi="Times New Roman"/>
              </w:rPr>
              <w:t xml:space="preserve"> </w:t>
            </w:r>
            <w:r w:rsidR="00BE2292" w:rsidRPr="00BE2292">
              <w:rPr>
                <w:rFonts w:ascii="Times New Roman" w:hAnsi="Times New Roman"/>
              </w:rPr>
              <w:t>Omitting</w:t>
            </w:r>
            <w:r w:rsidR="00BE2292" w:rsidRPr="00BE2292">
              <w:rPr>
                <w:rFonts w:ascii="Times New Roman" w:hAnsi="Times New Roman"/>
              </w:rPr>
              <w:t xml:space="preserve"> these parameters in the modeling effort should improve the ability of the model to derive precise</w:t>
            </w:r>
            <w:r w:rsidR="00BE2292">
              <w:rPr>
                <w:rFonts w:ascii="Times New Roman" w:hAnsi="Times New Roman"/>
              </w:rPr>
              <w:t xml:space="preserve"> </w:t>
            </w:r>
            <w:r w:rsidR="00BE2292" w:rsidRPr="00BE2292">
              <w:rPr>
                <w:rFonts w:ascii="Times New Roman" w:hAnsi="Times New Roman"/>
              </w:rPr>
              <w:t>estimates of mortality.</w:t>
            </w:r>
            <w:r w:rsidR="00BE2292">
              <w:rPr>
                <w:rFonts w:ascii="Times New Roman" w:hAnsi="Times New Roman"/>
              </w:rPr>
              <w:t xml:space="preserve"> </w:t>
            </w:r>
            <w:r w:rsidR="00BE2292" w:rsidRPr="00BE2292">
              <w:rPr>
                <w:rFonts w:ascii="Times New Roman" w:hAnsi="Times New Roman"/>
              </w:rPr>
              <w:t>Having positive rates of recapture (~3%) is a necessary characteristic of using mark and recapture models.</w:t>
            </w:r>
            <w:r w:rsidR="00BE2292">
              <w:rPr>
                <w:rFonts w:ascii="Times New Roman" w:hAnsi="Times New Roman"/>
              </w:rPr>
              <w:t xml:space="preserve"> </w:t>
            </w:r>
            <w:r w:rsidR="00BE2292" w:rsidRPr="00BE2292">
              <w:rPr>
                <w:rFonts w:ascii="Times New Roman" w:hAnsi="Times New Roman"/>
              </w:rPr>
              <w:t>Another aspect of the tag-recapture work, that is necessary for using contemporary models for parameter</w:t>
            </w:r>
            <w:r w:rsidR="00BE2292">
              <w:rPr>
                <w:rFonts w:ascii="Times New Roman" w:hAnsi="Times New Roman"/>
              </w:rPr>
              <w:t xml:space="preserve"> </w:t>
            </w:r>
            <w:r w:rsidR="00BE2292" w:rsidRPr="00BE2292">
              <w:rPr>
                <w:rFonts w:ascii="Times New Roman" w:hAnsi="Times New Roman"/>
              </w:rPr>
              <w:t xml:space="preserve">estimation, is to have recapture </w:t>
            </w:r>
            <w:r w:rsidR="00BE2292" w:rsidRPr="00BE2292">
              <w:rPr>
                <w:rFonts w:ascii="Times New Roman" w:hAnsi="Times New Roman"/>
              </w:rPr>
              <w:t>occurrences</w:t>
            </w:r>
            <w:r w:rsidR="00BE2292" w:rsidRPr="00BE2292">
              <w:rPr>
                <w:rFonts w:ascii="Times New Roman" w:hAnsi="Times New Roman"/>
              </w:rPr>
              <w:t xml:space="preserve"> at many sampling efforts. Figure 2 indicates that both life stages</w:t>
            </w:r>
            <w:r w:rsidR="00BE2292">
              <w:rPr>
                <w:rFonts w:ascii="Times New Roman" w:hAnsi="Times New Roman"/>
              </w:rPr>
              <w:t xml:space="preserve"> </w:t>
            </w:r>
            <w:r w:rsidR="00BE2292" w:rsidRPr="00BE2292">
              <w:rPr>
                <w:rFonts w:ascii="Times New Roman" w:hAnsi="Times New Roman"/>
              </w:rPr>
              <w:t>have times ‘at large’ of less than and greater than 500 days.</w:t>
            </w:r>
            <w:r w:rsidR="00BE2292">
              <w:rPr>
                <w:rFonts w:ascii="Times New Roman" w:hAnsi="Times New Roman"/>
              </w:rPr>
              <w:t xml:space="preserve"> </w:t>
            </w:r>
            <w:r w:rsidR="00BE2292" w:rsidRPr="00BE2292">
              <w:rPr>
                <w:rFonts w:ascii="Times New Roman" w:hAnsi="Times New Roman"/>
              </w:rPr>
              <w:t>Mark recapture modeling attempts to determine (at least) two related parameters - survival and probability</w:t>
            </w:r>
            <w:r w:rsidR="00BE2292">
              <w:rPr>
                <w:rFonts w:ascii="Times New Roman" w:hAnsi="Times New Roman"/>
              </w:rPr>
              <w:t xml:space="preserve"> </w:t>
            </w:r>
            <w:r w:rsidR="00BE2292" w:rsidRPr="00BE2292">
              <w:rPr>
                <w:rFonts w:ascii="Times New Roman" w:hAnsi="Times New Roman"/>
              </w:rPr>
              <w:t xml:space="preserve">of recapture. The second </w:t>
            </w:r>
            <w:r w:rsidR="00BE2292" w:rsidRPr="00BE2292">
              <w:rPr>
                <w:rFonts w:ascii="Times New Roman" w:hAnsi="Times New Roman"/>
              </w:rPr>
              <w:t>parameter</w:t>
            </w:r>
            <w:r w:rsidR="00BE2292" w:rsidRPr="00BE2292">
              <w:rPr>
                <w:rFonts w:ascii="Times New Roman" w:hAnsi="Times New Roman"/>
              </w:rPr>
              <w:t xml:space="preserve"> (probability of recapture) is in part determined by observation error.</w:t>
            </w:r>
            <w:r w:rsidR="00BE2292">
              <w:rPr>
                <w:rFonts w:ascii="Times New Roman" w:hAnsi="Times New Roman"/>
              </w:rPr>
              <w:t xml:space="preserve"> </w:t>
            </w:r>
            <w:r w:rsidR="00BE2292" w:rsidRPr="00BE2292">
              <w:rPr>
                <w:rFonts w:ascii="Times New Roman" w:hAnsi="Times New Roman"/>
              </w:rPr>
              <w:t>The plant- and year-specific capture probability derived from the trial data, different plants have varying</w:t>
            </w:r>
            <w:r w:rsidR="00BE2292">
              <w:rPr>
                <w:rFonts w:ascii="Times New Roman" w:hAnsi="Times New Roman"/>
              </w:rPr>
              <w:t xml:space="preserve"> </w:t>
            </w:r>
            <w:r w:rsidR="00BE2292" w:rsidRPr="00BE2292">
              <w:rPr>
                <w:rFonts w:ascii="Times New Roman" w:hAnsi="Times New Roman"/>
              </w:rPr>
              <w:t>ability for tag detection. These modeled parameters, derived from the data, can be incorporated into the</w:t>
            </w:r>
            <w:r w:rsidR="00BE2292">
              <w:rPr>
                <w:rFonts w:ascii="Times New Roman" w:hAnsi="Times New Roman"/>
              </w:rPr>
              <w:t xml:space="preserve"> </w:t>
            </w:r>
            <w:r w:rsidR="00BE2292" w:rsidRPr="00BE2292">
              <w:rPr>
                <w:rFonts w:ascii="Times New Roman" w:hAnsi="Times New Roman"/>
              </w:rPr>
              <w:t>model, as Liljestrand et al. has done.</w:t>
            </w:r>
            <w:r w:rsidR="00BE2292">
              <w:rPr>
                <w:rFonts w:ascii="Times New Roman" w:hAnsi="Times New Roman"/>
              </w:rPr>
              <w:t xml:space="preserve"> </w:t>
            </w:r>
            <w:r w:rsidR="00BE2292" w:rsidRPr="00BE2292">
              <w:rPr>
                <w:rFonts w:ascii="Times New Roman" w:hAnsi="Times New Roman"/>
              </w:rPr>
              <w:t>In conclusion, the magnitude of the data (number of recaptures, magnet trials) and its structure (varying</w:t>
            </w:r>
            <w:r w:rsidR="00BE2292">
              <w:rPr>
                <w:rFonts w:ascii="Times New Roman" w:hAnsi="Times New Roman"/>
              </w:rPr>
              <w:t xml:space="preserve"> </w:t>
            </w:r>
            <w:r w:rsidR="00BE2292" w:rsidRPr="00BE2292">
              <w:rPr>
                <w:rFonts w:ascii="Times New Roman" w:hAnsi="Times New Roman"/>
              </w:rPr>
              <w:t>times ‘at large’, stage specific tagging) are likely appropriate for modeling. I would recommend that this be</w:t>
            </w:r>
            <w:r w:rsidR="00BE2292">
              <w:rPr>
                <w:rFonts w:ascii="Times New Roman" w:hAnsi="Times New Roman"/>
              </w:rPr>
              <w:t xml:space="preserve"> </w:t>
            </w:r>
            <w:r w:rsidR="00BE2292" w:rsidRPr="00BE2292">
              <w:rPr>
                <w:rFonts w:ascii="Times New Roman" w:hAnsi="Times New Roman"/>
              </w:rPr>
              <w:t>attempted.</w:t>
            </w:r>
          </w:p>
        </w:tc>
      </w:tr>
    </w:tbl>
    <w:p w14:paraId="06936BB0" w14:textId="54BADF5F" w:rsidR="0044226B" w:rsidRPr="001A41FE" w:rsidRDefault="0044226B" w:rsidP="005A2601">
      <w:pPr>
        <w:widowControl w:val="0"/>
        <w:spacing w:before="120" w:after="0"/>
        <w:rPr>
          <w:rFonts w:ascii="Times New Roman" w:hAnsi="Times New Roman"/>
        </w:rPr>
      </w:pPr>
    </w:p>
    <w:sectPr w:rsidR="0044226B" w:rsidRPr="001A41FE" w:rsidSect="00DE337D">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7B0"/>
    <w:multiLevelType w:val="hybridMultilevel"/>
    <w:tmpl w:val="DACE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C5"/>
    <w:rsid w:val="000024D9"/>
    <w:rsid w:val="00012290"/>
    <w:rsid w:val="00041872"/>
    <w:rsid w:val="00057947"/>
    <w:rsid w:val="00087982"/>
    <w:rsid w:val="00091340"/>
    <w:rsid w:val="00091EA8"/>
    <w:rsid w:val="000A2888"/>
    <w:rsid w:val="000A40C6"/>
    <w:rsid w:val="000A4F68"/>
    <w:rsid w:val="000C3E7A"/>
    <w:rsid w:val="000C4EA8"/>
    <w:rsid w:val="000D7478"/>
    <w:rsid w:val="000E2DED"/>
    <w:rsid w:val="00146F93"/>
    <w:rsid w:val="00163557"/>
    <w:rsid w:val="00166ADE"/>
    <w:rsid w:val="001869C4"/>
    <w:rsid w:val="00186C94"/>
    <w:rsid w:val="00192A75"/>
    <w:rsid w:val="001A41FE"/>
    <w:rsid w:val="001B29C4"/>
    <w:rsid w:val="001F5E97"/>
    <w:rsid w:val="0023682F"/>
    <w:rsid w:val="002375A7"/>
    <w:rsid w:val="00264E94"/>
    <w:rsid w:val="0027135A"/>
    <w:rsid w:val="002C1F0F"/>
    <w:rsid w:val="002D4DDA"/>
    <w:rsid w:val="002F46EF"/>
    <w:rsid w:val="00305984"/>
    <w:rsid w:val="00344B1F"/>
    <w:rsid w:val="00362F36"/>
    <w:rsid w:val="003A4F8E"/>
    <w:rsid w:val="003A6A81"/>
    <w:rsid w:val="003E2839"/>
    <w:rsid w:val="003F03DE"/>
    <w:rsid w:val="00407A70"/>
    <w:rsid w:val="00407DA6"/>
    <w:rsid w:val="0042003A"/>
    <w:rsid w:val="004275E3"/>
    <w:rsid w:val="00427E71"/>
    <w:rsid w:val="00432CB4"/>
    <w:rsid w:val="0044226B"/>
    <w:rsid w:val="00464782"/>
    <w:rsid w:val="004758A3"/>
    <w:rsid w:val="004B677F"/>
    <w:rsid w:val="004C5AC6"/>
    <w:rsid w:val="004D48C7"/>
    <w:rsid w:val="004D5271"/>
    <w:rsid w:val="004D7E7C"/>
    <w:rsid w:val="004F250D"/>
    <w:rsid w:val="00530B71"/>
    <w:rsid w:val="00544A9C"/>
    <w:rsid w:val="00553EE7"/>
    <w:rsid w:val="005546EC"/>
    <w:rsid w:val="005A2601"/>
    <w:rsid w:val="005E2D1C"/>
    <w:rsid w:val="006147EB"/>
    <w:rsid w:val="006443F8"/>
    <w:rsid w:val="006457D2"/>
    <w:rsid w:val="00676F95"/>
    <w:rsid w:val="00677C12"/>
    <w:rsid w:val="00690264"/>
    <w:rsid w:val="00692D01"/>
    <w:rsid w:val="006979DA"/>
    <w:rsid w:val="006A6E32"/>
    <w:rsid w:val="006B2D90"/>
    <w:rsid w:val="006B3095"/>
    <w:rsid w:val="006B4CCB"/>
    <w:rsid w:val="006B4D47"/>
    <w:rsid w:val="006D5F13"/>
    <w:rsid w:val="00705030"/>
    <w:rsid w:val="00716EAD"/>
    <w:rsid w:val="0073564A"/>
    <w:rsid w:val="007764FF"/>
    <w:rsid w:val="00795BC1"/>
    <w:rsid w:val="007A4153"/>
    <w:rsid w:val="007D3D1E"/>
    <w:rsid w:val="007E0F7A"/>
    <w:rsid w:val="007F6FEC"/>
    <w:rsid w:val="00865407"/>
    <w:rsid w:val="00866725"/>
    <w:rsid w:val="008875A4"/>
    <w:rsid w:val="008A1C54"/>
    <w:rsid w:val="008B47EA"/>
    <w:rsid w:val="008B7043"/>
    <w:rsid w:val="008C25C5"/>
    <w:rsid w:val="008E524D"/>
    <w:rsid w:val="009139C5"/>
    <w:rsid w:val="009A6621"/>
    <w:rsid w:val="009E3548"/>
    <w:rsid w:val="00A002B7"/>
    <w:rsid w:val="00A02200"/>
    <w:rsid w:val="00A27DBF"/>
    <w:rsid w:val="00A328F5"/>
    <w:rsid w:val="00A33AE3"/>
    <w:rsid w:val="00A52D48"/>
    <w:rsid w:val="00AE154C"/>
    <w:rsid w:val="00AE4AF9"/>
    <w:rsid w:val="00B255E5"/>
    <w:rsid w:val="00B43C0A"/>
    <w:rsid w:val="00B45D7C"/>
    <w:rsid w:val="00B51A94"/>
    <w:rsid w:val="00B53D65"/>
    <w:rsid w:val="00B53E69"/>
    <w:rsid w:val="00B57022"/>
    <w:rsid w:val="00B62BCB"/>
    <w:rsid w:val="00B85A0D"/>
    <w:rsid w:val="00BC7632"/>
    <w:rsid w:val="00BE2292"/>
    <w:rsid w:val="00C06BC6"/>
    <w:rsid w:val="00C122F7"/>
    <w:rsid w:val="00C175F3"/>
    <w:rsid w:val="00C20D62"/>
    <w:rsid w:val="00C25AFE"/>
    <w:rsid w:val="00C316A3"/>
    <w:rsid w:val="00C3292E"/>
    <w:rsid w:val="00C32E5F"/>
    <w:rsid w:val="00CA5FE2"/>
    <w:rsid w:val="00CF4D5A"/>
    <w:rsid w:val="00CF6016"/>
    <w:rsid w:val="00D362A4"/>
    <w:rsid w:val="00D402A1"/>
    <w:rsid w:val="00D53B6F"/>
    <w:rsid w:val="00D706E1"/>
    <w:rsid w:val="00D71F52"/>
    <w:rsid w:val="00D9459E"/>
    <w:rsid w:val="00D94895"/>
    <w:rsid w:val="00DA6854"/>
    <w:rsid w:val="00DC27FA"/>
    <w:rsid w:val="00DE337D"/>
    <w:rsid w:val="00DF3022"/>
    <w:rsid w:val="00E47C15"/>
    <w:rsid w:val="00E876C8"/>
    <w:rsid w:val="00E9732F"/>
    <w:rsid w:val="00EA0E00"/>
    <w:rsid w:val="00EF3661"/>
    <w:rsid w:val="00F149F8"/>
    <w:rsid w:val="00F45807"/>
    <w:rsid w:val="00F5439D"/>
    <w:rsid w:val="00F84B52"/>
    <w:rsid w:val="00F95B07"/>
    <w:rsid w:val="00FA65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71BA1E"/>
  <w14:defaultImageDpi w14:val="300"/>
  <w15:docId w15:val="{C5139C1D-702A-544A-88B0-2E36435E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139C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D543FE"/>
    <w:rPr>
      <w:sz w:val="18"/>
    </w:rPr>
  </w:style>
  <w:style w:type="paragraph" w:styleId="CommentText">
    <w:name w:val="annotation text"/>
    <w:basedOn w:val="Normal"/>
    <w:semiHidden/>
    <w:rsid w:val="00D543FE"/>
    <w:rPr>
      <w:sz w:val="24"/>
      <w:szCs w:val="24"/>
    </w:rPr>
  </w:style>
  <w:style w:type="paragraph" w:styleId="CommentSubject">
    <w:name w:val="annotation subject"/>
    <w:basedOn w:val="CommentText"/>
    <w:next w:val="CommentText"/>
    <w:semiHidden/>
    <w:rsid w:val="00D543FE"/>
    <w:rPr>
      <w:sz w:val="22"/>
      <w:szCs w:val="22"/>
    </w:rPr>
  </w:style>
  <w:style w:type="paragraph" w:styleId="BalloonText">
    <w:name w:val="Balloon Text"/>
    <w:basedOn w:val="Normal"/>
    <w:semiHidden/>
    <w:rsid w:val="00D543FE"/>
    <w:rPr>
      <w:rFonts w:ascii="Lucida Grande" w:hAnsi="Lucida Grande"/>
      <w:sz w:val="18"/>
      <w:szCs w:val="18"/>
    </w:rPr>
  </w:style>
  <w:style w:type="table" w:styleId="TableGrid">
    <w:name w:val="Table Grid"/>
    <w:basedOn w:val="TableNormal"/>
    <w:uiPriority w:val="59"/>
    <w:rsid w:val="00C06B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6BC6"/>
    <w:pPr>
      <w:ind w:left="720"/>
      <w:contextualSpacing/>
    </w:pPr>
  </w:style>
  <w:style w:type="character" w:styleId="Hyperlink">
    <w:name w:val="Hyperlink"/>
    <w:basedOn w:val="DefaultParagraphFont"/>
    <w:uiPriority w:val="99"/>
    <w:semiHidden/>
    <w:unhideWhenUsed/>
    <w:rsid w:val="004275E3"/>
    <w:rPr>
      <w:color w:val="0000FF"/>
      <w:u w:val="single"/>
    </w:rPr>
  </w:style>
  <w:style w:type="paragraph" w:styleId="NoSpacing">
    <w:name w:val="No Spacing"/>
    <w:uiPriority w:val="1"/>
    <w:qFormat/>
    <w:rsid w:val="00BE229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tleaf/Gulf-Menhaden-Tag-Recap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I/UCRC Executive Summary - Project Synopsis</vt:lpstr>
    </vt:vector>
  </TitlesOfParts>
  <Company>National Science Foundation</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I/UCRC Executive Summary - Project Synopsis</dc:title>
  <dc:subject/>
  <dc:creator>Glenn Larsen</dc:creator>
  <cp:keywords/>
  <dc:description/>
  <cp:lastModifiedBy>Robert Leaf</cp:lastModifiedBy>
  <cp:revision>3</cp:revision>
  <cp:lastPrinted>2012-03-15T17:45:00Z</cp:lastPrinted>
  <dcterms:created xsi:type="dcterms:W3CDTF">2020-04-16T21:54:00Z</dcterms:created>
  <dcterms:modified xsi:type="dcterms:W3CDTF">2020-04-17T21:58:00Z</dcterms:modified>
</cp:coreProperties>
</file>