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00" w:type="dxa"/>
        <w:tblCellSpacing w:w="15" w:type="dxa"/>
        <w:tblInd w:w="-21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6210"/>
        <w:gridCol w:w="3690"/>
      </w:tblGrid>
      <w:tr w:rsidR="0044226B" w:rsidRPr="001A41FE" w14:paraId="64306C20" w14:textId="77777777" w:rsidTr="00EA0E00">
        <w:trPr>
          <w:tblCellSpacing w:w="15" w:type="dxa"/>
        </w:trPr>
        <w:tc>
          <w:tcPr>
            <w:tcW w:w="6165" w:type="dxa"/>
            <w:tcBorders>
              <w:top w:val="outset" w:sz="6" w:space="0" w:color="auto"/>
              <w:left w:val="outset" w:sz="6" w:space="0" w:color="auto"/>
              <w:bottom w:val="outset" w:sz="6" w:space="0" w:color="auto"/>
              <w:right w:val="outset" w:sz="6" w:space="0" w:color="auto"/>
            </w:tcBorders>
            <w:shd w:val="clear" w:color="auto" w:fill="BFCECD"/>
            <w:vAlign w:val="center"/>
          </w:tcPr>
          <w:p w14:paraId="10E477AB" w14:textId="7402C7B7" w:rsidR="0044226B" w:rsidRPr="001A41FE" w:rsidRDefault="0044226B" w:rsidP="00692D01">
            <w:pPr>
              <w:spacing w:after="0" w:line="240" w:lineRule="auto"/>
              <w:rPr>
                <w:rFonts w:ascii="Times New Roman" w:eastAsia="Times New Roman" w:hAnsi="Times New Roman"/>
              </w:rPr>
            </w:pPr>
            <w:r w:rsidRPr="001A41FE">
              <w:rPr>
                <w:rFonts w:ascii="Times New Roman" w:eastAsia="Times New Roman" w:hAnsi="Times New Roman"/>
                <w:b/>
                <w:bCs/>
              </w:rPr>
              <w:t xml:space="preserve">I/UCRC Executive Summary </w:t>
            </w:r>
          </w:p>
        </w:tc>
        <w:tc>
          <w:tcPr>
            <w:tcW w:w="3645" w:type="dxa"/>
            <w:tcBorders>
              <w:top w:val="outset" w:sz="6" w:space="0" w:color="auto"/>
              <w:left w:val="outset" w:sz="6" w:space="0" w:color="auto"/>
              <w:bottom w:val="outset" w:sz="6" w:space="0" w:color="auto"/>
              <w:right w:val="outset" w:sz="6" w:space="0" w:color="auto"/>
            </w:tcBorders>
            <w:shd w:val="clear" w:color="auto" w:fill="BFCECD"/>
            <w:vAlign w:val="center"/>
          </w:tcPr>
          <w:p w14:paraId="27CFA66D" w14:textId="50FAF988" w:rsidR="0044226B" w:rsidRPr="001A41FE" w:rsidRDefault="0044226B" w:rsidP="0073564A">
            <w:pPr>
              <w:spacing w:after="0" w:line="240" w:lineRule="auto"/>
              <w:rPr>
                <w:rFonts w:ascii="Times New Roman" w:eastAsia="Times New Roman" w:hAnsi="Times New Roman"/>
              </w:rPr>
            </w:pPr>
            <w:r w:rsidRPr="001A41FE">
              <w:rPr>
                <w:rFonts w:ascii="Times New Roman" w:eastAsia="Times New Roman" w:hAnsi="Times New Roman"/>
                <w:b/>
              </w:rPr>
              <w:t>Date</w:t>
            </w:r>
            <w:r w:rsidRPr="001A41FE">
              <w:rPr>
                <w:rFonts w:ascii="Times New Roman" w:eastAsia="Times New Roman" w:hAnsi="Times New Roman"/>
              </w:rPr>
              <w:t>:</w:t>
            </w:r>
            <w:r w:rsidR="00B45D7C" w:rsidRPr="001A41FE">
              <w:rPr>
                <w:rFonts w:ascii="Times New Roman" w:eastAsia="Times New Roman" w:hAnsi="Times New Roman"/>
              </w:rPr>
              <w:t xml:space="preserve"> </w:t>
            </w:r>
            <w:r w:rsidR="00C32E5F">
              <w:rPr>
                <w:rFonts w:ascii="Times New Roman" w:eastAsia="Times New Roman" w:hAnsi="Times New Roman"/>
              </w:rPr>
              <w:t>April 15, 2020</w:t>
            </w:r>
          </w:p>
        </w:tc>
      </w:tr>
      <w:tr w:rsidR="004C5AC6" w:rsidRPr="001A41FE" w14:paraId="776C05D1" w14:textId="77777777" w:rsidTr="00012290">
        <w:trPr>
          <w:trHeight w:val="252"/>
          <w:tblCellSpacing w:w="15" w:type="dxa"/>
        </w:trPr>
        <w:tc>
          <w:tcPr>
            <w:tcW w:w="9840" w:type="dxa"/>
            <w:gridSpan w:val="2"/>
            <w:tcBorders>
              <w:top w:val="outset" w:sz="6" w:space="0" w:color="auto"/>
              <w:left w:val="outset" w:sz="6" w:space="0" w:color="auto"/>
              <w:bottom w:val="outset" w:sz="6" w:space="0" w:color="auto"/>
              <w:right w:val="outset" w:sz="6" w:space="0" w:color="auto"/>
            </w:tcBorders>
          </w:tcPr>
          <w:p w14:paraId="4E142F6B" w14:textId="3B6BB343" w:rsidR="004C5AC6" w:rsidRPr="001A41FE" w:rsidRDefault="004C5AC6" w:rsidP="00012290">
            <w:pPr>
              <w:spacing w:after="0" w:line="220" w:lineRule="exact"/>
              <w:rPr>
                <w:rFonts w:ascii="Times New Roman" w:eastAsia="Times New Roman" w:hAnsi="Times New Roman"/>
                <w:b/>
                <w:bCs/>
              </w:rPr>
            </w:pPr>
            <w:r w:rsidRPr="001A41FE">
              <w:rPr>
                <w:rFonts w:ascii="Times New Roman" w:eastAsia="Times New Roman" w:hAnsi="Times New Roman"/>
                <w:b/>
                <w:bCs/>
              </w:rPr>
              <w:t>Title:</w:t>
            </w:r>
            <w:r w:rsidR="00407A70" w:rsidRPr="001A41FE">
              <w:rPr>
                <w:rFonts w:ascii="Times New Roman" w:hAnsi="Times New Roman"/>
              </w:rPr>
              <w:t xml:space="preserve"> Understanding the utility of archived tag-recapture data for evaluation of movement and mortality estimation</w:t>
            </w:r>
          </w:p>
        </w:tc>
      </w:tr>
      <w:tr w:rsidR="004C5AC6" w:rsidRPr="001A41FE" w14:paraId="113BF500" w14:textId="77777777" w:rsidTr="00012290">
        <w:trPr>
          <w:trHeight w:val="252"/>
          <w:tblCellSpacing w:w="15" w:type="dxa"/>
        </w:trPr>
        <w:tc>
          <w:tcPr>
            <w:tcW w:w="9840" w:type="dxa"/>
            <w:gridSpan w:val="2"/>
            <w:tcBorders>
              <w:top w:val="outset" w:sz="6" w:space="0" w:color="auto"/>
              <w:left w:val="outset" w:sz="6" w:space="0" w:color="auto"/>
              <w:bottom w:val="outset" w:sz="6" w:space="0" w:color="auto"/>
              <w:right w:val="outset" w:sz="6" w:space="0" w:color="auto"/>
            </w:tcBorders>
          </w:tcPr>
          <w:p w14:paraId="6317559B" w14:textId="70836051" w:rsidR="004C5AC6" w:rsidRPr="001A41FE" w:rsidRDefault="004C5AC6" w:rsidP="00012290">
            <w:pPr>
              <w:spacing w:after="0" w:line="220" w:lineRule="exact"/>
              <w:rPr>
                <w:rFonts w:ascii="Times New Roman" w:eastAsia="Times New Roman" w:hAnsi="Times New Roman"/>
                <w:b/>
                <w:bCs/>
              </w:rPr>
            </w:pPr>
            <w:r w:rsidRPr="001A41FE">
              <w:rPr>
                <w:rFonts w:ascii="Times New Roman" w:eastAsia="Times New Roman" w:hAnsi="Times New Roman"/>
                <w:b/>
                <w:bCs/>
              </w:rPr>
              <w:t>PI:</w:t>
            </w:r>
            <w:r w:rsidR="00553EE7">
              <w:rPr>
                <w:rFonts w:ascii="Times New Roman" w:eastAsia="Times New Roman" w:hAnsi="Times New Roman"/>
                <w:b/>
                <w:bCs/>
              </w:rPr>
              <w:t xml:space="preserve"> </w:t>
            </w:r>
            <w:r w:rsidR="00407A70" w:rsidRPr="001A41FE">
              <w:rPr>
                <w:rFonts w:ascii="Times New Roman" w:eastAsia="Times New Roman" w:hAnsi="Times New Roman"/>
                <w:b/>
                <w:bCs/>
              </w:rPr>
              <w:t>Robert Leaf</w:t>
            </w:r>
          </w:p>
        </w:tc>
      </w:tr>
      <w:tr w:rsidR="0044226B" w:rsidRPr="001A41FE" w14:paraId="11892D12" w14:textId="77777777" w:rsidTr="00012290">
        <w:trPr>
          <w:trHeight w:val="252"/>
          <w:tblCellSpacing w:w="15" w:type="dxa"/>
        </w:trPr>
        <w:tc>
          <w:tcPr>
            <w:tcW w:w="9840" w:type="dxa"/>
            <w:gridSpan w:val="2"/>
            <w:tcBorders>
              <w:top w:val="outset" w:sz="6" w:space="0" w:color="auto"/>
              <w:left w:val="outset" w:sz="6" w:space="0" w:color="auto"/>
              <w:bottom w:val="outset" w:sz="6" w:space="0" w:color="auto"/>
              <w:right w:val="outset" w:sz="6" w:space="0" w:color="auto"/>
            </w:tcBorders>
          </w:tcPr>
          <w:p w14:paraId="30B1013C" w14:textId="291AD00D" w:rsidR="0044226B" w:rsidRPr="001A41FE" w:rsidRDefault="004C5AC6" w:rsidP="00012290">
            <w:pPr>
              <w:spacing w:after="0" w:line="220" w:lineRule="exact"/>
              <w:rPr>
                <w:rFonts w:ascii="Times New Roman" w:eastAsia="Times New Roman" w:hAnsi="Times New Roman"/>
              </w:rPr>
            </w:pPr>
            <w:r w:rsidRPr="001A41FE">
              <w:rPr>
                <w:rFonts w:ascii="Times New Roman" w:eastAsia="Times New Roman" w:hAnsi="Times New Roman"/>
                <w:b/>
                <w:bCs/>
              </w:rPr>
              <w:t>C</w:t>
            </w:r>
            <w:r w:rsidR="0044226B" w:rsidRPr="001A41FE">
              <w:rPr>
                <w:rFonts w:ascii="Times New Roman" w:eastAsia="Times New Roman" w:hAnsi="Times New Roman"/>
                <w:b/>
                <w:bCs/>
              </w:rPr>
              <w:t>enter/Site</w:t>
            </w:r>
            <w:r w:rsidR="0044226B" w:rsidRPr="001A41FE">
              <w:rPr>
                <w:rFonts w:ascii="Times New Roman" w:eastAsia="Times New Roman" w:hAnsi="Times New Roman"/>
              </w:rPr>
              <w:t xml:space="preserve">: </w:t>
            </w:r>
            <w:r w:rsidR="0044226B" w:rsidRPr="001A41FE">
              <w:rPr>
                <w:rFonts w:ascii="Times New Roman" w:eastAsia="Times New Roman" w:hAnsi="Times New Roman"/>
                <w:bCs/>
                <w:lang w:bidi="en-US"/>
              </w:rPr>
              <w:t>S</w:t>
            </w:r>
            <w:r w:rsidR="0044226B" w:rsidRPr="001A41FE">
              <w:rPr>
                <w:rFonts w:ascii="Times New Roman" w:eastAsia="Times New Roman" w:hAnsi="Times New Roman"/>
                <w:lang w:bidi="en-US"/>
              </w:rPr>
              <w:t xml:space="preserve">cience </w:t>
            </w:r>
            <w:r w:rsidR="0044226B" w:rsidRPr="001A41FE">
              <w:rPr>
                <w:rFonts w:ascii="Times New Roman" w:eastAsia="Times New Roman" w:hAnsi="Times New Roman"/>
                <w:bCs/>
                <w:lang w:bidi="en-US"/>
              </w:rPr>
              <w:t>Ce</w:t>
            </w:r>
            <w:r w:rsidR="0044226B" w:rsidRPr="001A41FE">
              <w:rPr>
                <w:rFonts w:ascii="Times New Roman" w:eastAsia="Times New Roman" w:hAnsi="Times New Roman"/>
                <w:lang w:bidi="en-US"/>
              </w:rPr>
              <w:t xml:space="preserve">nter for </w:t>
            </w:r>
            <w:r w:rsidR="0044226B" w:rsidRPr="001A41FE">
              <w:rPr>
                <w:rFonts w:ascii="Times New Roman" w:eastAsia="Times New Roman" w:hAnsi="Times New Roman"/>
                <w:bCs/>
                <w:lang w:bidi="en-US"/>
              </w:rPr>
              <w:t>M</w:t>
            </w:r>
            <w:r w:rsidR="0044226B" w:rsidRPr="001A41FE">
              <w:rPr>
                <w:rFonts w:ascii="Times New Roman" w:eastAsia="Times New Roman" w:hAnsi="Times New Roman"/>
                <w:lang w:bidi="en-US"/>
              </w:rPr>
              <w:t xml:space="preserve">arine </w:t>
            </w:r>
            <w:r w:rsidR="0044226B" w:rsidRPr="001A41FE">
              <w:rPr>
                <w:rFonts w:ascii="Times New Roman" w:eastAsia="Times New Roman" w:hAnsi="Times New Roman"/>
                <w:bCs/>
                <w:lang w:bidi="en-US"/>
              </w:rPr>
              <w:t>Fis</w:t>
            </w:r>
            <w:r w:rsidR="0044226B" w:rsidRPr="001A41FE">
              <w:rPr>
                <w:rFonts w:ascii="Times New Roman" w:eastAsia="Times New Roman" w:hAnsi="Times New Roman"/>
                <w:lang w:bidi="en-US"/>
              </w:rPr>
              <w:t>heries (SCeMFiS)</w:t>
            </w:r>
          </w:p>
        </w:tc>
      </w:tr>
      <w:tr w:rsidR="0044226B" w:rsidRPr="001A41FE" w14:paraId="25E8650A" w14:textId="77777777" w:rsidTr="00EA0E00">
        <w:trPr>
          <w:trHeight w:val="1638"/>
          <w:tblCellSpacing w:w="15" w:type="dxa"/>
        </w:trPr>
        <w:tc>
          <w:tcPr>
            <w:tcW w:w="9840" w:type="dxa"/>
            <w:gridSpan w:val="2"/>
            <w:tcBorders>
              <w:top w:val="outset" w:sz="6" w:space="0" w:color="auto"/>
              <w:left w:val="outset" w:sz="6" w:space="0" w:color="auto"/>
              <w:bottom w:val="outset" w:sz="6" w:space="0" w:color="auto"/>
              <w:right w:val="outset" w:sz="6" w:space="0" w:color="auto"/>
            </w:tcBorders>
          </w:tcPr>
          <w:p w14:paraId="31F08866" w14:textId="2FBC9C35" w:rsidR="00E876C8" w:rsidRPr="001A41FE" w:rsidRDefault="00432CB4" w:rsidP="00E876C8">
            <w:pPr>
              <w:autoSpaceDE w:val="0"/>
              <w:autoSpaceDN w:val="0"/>
              <w:adjustRightInd w:val="0"/>
              <w:spacing w:after="0" w:line="240" w:lineRule="auto"/>
              <w:rPr>
                <w:rFonts w:ascii="Times New Roman" w:hAnsi="Times New Roman"/>
              </w:rPr>
            </w:pPr>
            <w:r w:rsidRPr="001A41FE">
              <w:rPr>
                <w:rFonts w:ascii="Times New Roman" w:eastAsia="Times New Roman" w:hAnsi="Times New Roman"/>
                <w:b/>
                <w:bCs/>
              </w:rPr>
              <w:t>Statement of Problem</w:t>
            </w:r>
            <w:r w:rsidR="0044226B" w:rsidRPr="001A41FE">
              <w:rPr>
                <w:rFonts w:ascii="Times New Roman" w:eastAsia="Times New Roman" w:hAnsi="Times New Roman"/>
              </w:rPr>
              <w:t xml:space="preserve">: </w:t>
            </w:r>
            <w:r w:rsidR="00166ADE" w:rsidRPr="001A41FE">
              <w:rPr>
                <w:rFonts w:ascii="Times New Roman" w:eastAsia="Times New Roman" w:hAnsi="Times New Roman"/>
              </w:rPr>
              <w:t>A h</w:t>
            </w:r>
            <w:r w:rsidR="00E876C8" w:rsidRPr="001A41FE">
              <w:rPr>
                <w:rFonts w:ascii="Times New Roman" w:hAnsi="Times New Roman"/>
              </w:rPr>
              <w:t>igh priority research need for improving the assessment of Gulf Menhaden include</w:t>
            </w:r>
          </w:p>
          <w:p w14:paraId="73AD8F50" w14:textId="77777777" w:rsidR="00E876C8" w:rsidRPr="001A41FE" w:rsidRDefault="00E876C8" w:rsidP="00E876C8">
            <w:pPr>
              <w:autoSpaceDE w:val="0"/>
              <w:autoSpaceDN w:val="0"/>
              <w:adjustRightInd w:val="0"/>
              <w:spacing w:after="0" w:line="240" w:lineRule="auto"/>
              <w:rPr>
                <w:rFonts w:ascii="Times New Roman" w:hAnsi="Times New Roman"/>
              </w:rPr>
            </w:pPr>
            <w:r w:rsidRPr="001A41FE">
              <w:rPr>
                <w:rFonts w:ascii="Times New Roman" w:hAnsi="Times New Roman"/>
              </w:rPr>
              <w:t>understanding stock structure, individual growth dynamics, and improving estimates of natural mortality. One</w:t>
            </w:r>
          </w:p>
          <w:p w14:paraId="645FDD3B" w14:textId="77777777" w:rsidR="00E876C8" w:rsidRPr="001A41FE" w:rsidRDefault="00E876C8" w:rsidP="00E876C8">
            <w:pPr>
              <w:autoSpaceDE w:val="0"/>
              <w:autoSpaceDN w:val="0"/>
              <w:adjustRightInd w:val="0"/>
              <w:spacing w:after="0" w:line="240" w:lineRule="auto"/>
              <w:rPr>
                <w:rFonts w:ascii="Times New Roman" w:hAnsi="Times New Roman"/>
              </w:rPr>
            </w:pPr>
            <w:r w:rsidRPr="001A41FE">
              <w:rPr>
                <w:rFonts w:ascii="Times New Roman" w:hAnsi="Times New Roman"/>
              </w:rPr>
              <w:t>of the primary ways that mortality and growth can be understood is through tagging and recapture of</w:t>
            </w:r>
          </w:p>
          <w:p w14:paraId="4CB7134C" w14:textId="77777777" w:rsidR="00E876C8" w:rsidRPr="001A41FE" w:rsidRDefault="00E876C8" w:rsidP="00E876C8">
            <w:pPr>
              <w:autoSpaceDE w:val="0"/>
              <w:autoSpaceDN w:val="0"/>
              <w:adjustRightInd w:val="0"/>
              <w:spacing w:after="0" w:line="240" w:lineRule="auto"/>
              <w:rPr>
                <w:rFonts w:ascii="Times New Roman" w:hAnsi="Times New Roman"/>
              </w:rPr>
            </w:pPr>
            <w:r w:rsidRPr="001A41FE">
              <w:rPr>
                <w:rFonts w:ascii="Times New Roman" w:hAnsi="Times New Roman"/>
              </w:rPr>
              <w:t>individuals (Leaf et al. 2007, Leaf et al. 2008). Similarly, migration and stock delineation have also been</w:t>
            </w:r>
          </w:p>
          <w:p w14:paraId="266C35E9" w14:textId="77777777" w:rsidR="00E876C8" w:rsidRPr="001A41FE" w:rsidRDefault="00E876C8" w:rsidP="00E876C8">
            <w:pPr>
              <w:autoSpaceDE w:val="0"/>
              <w:autoSpaceDN w:val="0"/>
              <w:adjustRightInd w:val="0"/>
              <w:spacing w:after="0" w:line="240" w:lineRule="auto"/>
              <w:rPr>
                <w:rFonts w:ascii="Times New Roman" w:hAnsi="Times New Roman"/>
              </w:rPr>
            </w:pPr>
            <w:r w:rsidRPr="001A41FE">
              <w:rPr>
                <w:rFonts w:ascii="Times New Roman" w:hAnsi="Times New Roman"/>
              </w:rPr>
              <w:t>described with such tagging studies. Because of the power of tag and recapture studies for understanding stock</w:t>
            </w:r>
          </w:p>
          <w:p w14:paraId="205CE352" w14:textId="77777777" w:rsidR="00E876C8" w:rsidRPr="001A41FE" w:rsidRDefault="00E876C8" w:rsidP="00E876C8">
            <w:pPr>
              <w:autoSpaceDE w:val="0"/>
              <w:autoSpaceDN w:val="0"/>
              <w:adjustRightInd w:val="0"/>
              <w:spacing w:after="0" w:line="240" w:lineRule="auto"/>
              <w:rPr>
                <w:rFonts w:ascii="Times New Roman" w:hAnsi="Times New Roman"/>
              </w:rPr>
            </w:pPr>
            <w:r w:rsidRPr="001A41FE">
              <w:rPr>
                <w:rFonts w:ascii="Times New Roman" w:hAnsi="Times New Roman"/>
              </w:rPr>
              <w:t>dynamics, the Gulf Menhaden Stock Assessment report further recommended replicating the tagging work</w:t>
            </w:r>
          </w:p>
          <w:p w14:paraId="268972B1" w14:textId="77777777" w:rsidR="00E876C8" w:rsidRPr="001A41FE" w:rsidRDefault="00E876C8" w:rsidP="00E876C8">
            <w:pPr>
              <w:autoSpaceDE w:val="0"/>
              <w:autoSpaceDN w:val="0"/>
              <w:adjustRightInd w:val="0"/>
              <w:spacing w:after="0" w:line="240" w:lineRule="auto"/>
              <w:rPr>
                <w:rFonts w:ascii="Times New Roman" w:hAnsi="Times New Roman"/>
              </w:rPr>
            </w:pPr>
            <w:r w:rsidRPr="001A41FE">
              <w:rPr>
                <w:rFonts w:ascii="Times New Roman" w:hAnsi="Times New Roman"/>
              </w:rPr>
              <w:t xml:space="preserve">performed by NOAA scientists, which were extensive: </w:t>
            </w:r>
            <w:proofErr w:type="spellStart"/>
            <w:r w:rsidRPr="001A41FE">
              <w:rPr>
                <w:rFonts w:ascii="Times New Roman" w:hAnsi="Times New Roman"/>
              </w:rPr>
              <w:t>Pristas</w:t>
            </w:r>
            <w:proofErr w:type="spellEnd"/>
            <w:r w:rsidRPr="001A41FE">
              <w:rPr>
                <w:rFonts w:ascii="Times New Roman" w:hAnsi="Times New Roman"/>
              </w:rPr>
              <w:t xml:space="preserve"> tagged 75,000 </w:t>
            </w:r>
            <w:r w:rsidRPr="001A41FE">
              <w:rPr>
                <w:rFonts w:ascii="Times New Roman" w:hAnsi="Times New Roman"/>
                <w:i/>
                <w:iCs/>
              </w:rPr>
              <w:t xml:space="preserve">B. </w:t>
            </w:r>
            <w:proofErr w:type="spellStart"/>
            <w:r w:rsidRPr="001A41FE">
              <w:rPr>
                <w:rFonts w:ascii="Times New Roman" w:hAnsi="Times New Roman"/>
                <w:i/>
                <w:iCs/>
              </w:rPr>
              <w:t>patronus</w:t>
            </w:r>
            <w:proofErr w:type="spellEnd"/>
            <w:r w:rsidRPr="001A41FE">
              <w:rPr>
                <w:rFonts w:ascii="Times New Roman" w:hAnsi="Times New Roman"/>
                <w:i/>
                <w:iCs/>
              </w:rPr>
              <w:t xml:space="preserve"> </w:t>
            </w:r>
            <w:r w:rsidRPr="001A41FE">
              <w:rPr>
                <w:rFonts w:ascii="Times New Roman" w:hAnsi="Times New Roman"/>
              </w:rPr>
              <w:t>from 1969 to 1972</w:t>
            </w:r>
          </w:p>
          <w:p w14:paraId="0201C918" w14:textId="77777777" w:rsidR="00E876C8" w:rsidRPr="001A41FE" w:rsidRDefault="00E876C8" w:rsidP="00E876C8">
            <w:pPr>
              <w:autoSpaceDE w:val="0"/>
              <w:autoSpaceDN w:val="0"/>
              <w:adjustRightInd w:val="0"/>
              <w:spacing w:after="0" w:line="240" w:lineRule="auto"/>
              <w:rPr>
                <w:rFonts w:ascii="Times New Roman" w:hAnsi="Times New Roman"/>
              </w:rPr>
            </w:pPr>
            <w:r w:rsidRPr="001A41FE">
              <w:rPr>
                <w:rFonts w:ascii="Times New Roman" w:hAnsi="Times New Roman"/>
              </w:rPr>
              <w:t xml:space="preserve">and </w:t>
            </w:r>
            <w:proofErr w:type="spellStart"/>
            <w:r w:rsidRPr="001A41FE">
              <w:rPr>
                <w:rFonts w:ascii="Times New Roman" w:hAnsi="Times New Roman"/>
              </w:rPr>
              <w:t>Ahrenholz</w:t>
            </w:r>
            <w:proofErr w:type="spellEnd"/>
            <w:r w:rsidRPr="001A41FE">
              <w:rPr>
                <w:rFonts w:ascii="Times New Roman" w:hAnsi="Times New Roman"/>
              </w:rPr>
              <w:t xml:space="preserve"> tagged 237,000 </w:t>
            </w:r>
            <w:r w:rsidRPr="001A41FE">
              <w:rPr>
                <w:rFonts w:ascii="Times New Roman" w:hAnsi="Times New Roman"/>
                <w:i/>
                <w:iCs/>
              </w:rPr>
              <w:t xml:space="preserve">B. </w:t>
            </w:r>
            <w:proofErr w:type="spellStart"/>
            <w:r w:rsidRPr="001A41FE">
              <w:rPr>
                <w:rFonts w:ascii="Times New Roman" w:hAnsi="Times New Roman"/>
                <w:i/>
                <w:iCs/>
              </w:rPr>
              <w:t>patronus</w:t>
            </w:r>
            <w:proofErr w:type="spellEnd"/>
            <w:r w:rsidRPr="001A41FE">
              <w:rPr>
                <w:rFonts w:ascii="Times New Roman" w:hAnsi="Times New Roman"/>
                <w:i/>
                <w:iCs/>
              </w:rPr>
              <w:t xml:space="preserve"> </w:t>
            </w:r>
            <w:r w:rsidRPr="001A41FE">
              <w:rPr>
                <w:rFonts w:ascii="Times New Roman" w:hAnsi="Times New Roman"/>
              </w:rPr>
              <w:t>from 1970 to 1985. These studies involved tagging juveniles and</w:t>
            </w:r>
          </w:p>
          <w:p w14:paraId="198C5A90" w14:textId="77777777" w:rsidR="00E876C8" w:rsidRPr="001A41FE" w:rsidRDefault="00E876C8" w:rsidP="00E876C8">
            <w:pPr>
              <w:autoSpaceDE w:val="0"/>
              <w:autoSpaceDN w:val="0"/>
              <w:adjustRightInd w:val="0"/>
              <w:spacing w:after="0" w:line="240" w:lineRule="auto"/>
              <w:rPr>
                <w:rFonts w:ascii="Times New Roman" w:hAnsi="Times New Roman"/>
              </w:rPr>
            </w:pPr>
            <w:r w:rsidRPr="001A41FE">
              <w:rPr>
                <w:rFonts w:ascii="Times New Roman" w:hAnsi="Times New Roman"/>
              </w:rPr>
              <w:t xml:space="preserve">adults with internal, </w:t>
            </w:r>
            <w:proofErr w:type="gramStart"/>
            <w:r w:rsidRPr="001A41FE">
              <w:rPr>
                <w:rFonts w:ascii="Times New Roman" w:hAnsi="Times New Roman"/>
              </w:rPr>
              <w:t>individually-numbered</w:t>
            </w:r>
            <w:proofErr w:type="gramEnd"/>
            <w:r w:rsidRPr="001A41FE">
              <w:rPr>
                <w:rFonts w:ascii="Times New Roman" w:hAnsi="Times New Roman"/>
              </w:rPr>
              <w:t xml:space="preserve"> ferro-magnetic tags that were recovered on magnets in fish</w:t>
            </w:r>
          </w:p>
          <w:p w14:paraId="387B0CAC" w14:textId="77777777" w:rsidR="00E876C8" w:rsidRPr="001A41FE" w:rsidRDefault="00E876C8" w:rsidP="00E876C8">
            <w:pPr>
              <w:autoSpaceDE w:val="0"/>
              <w:autoSpaceDN w:val="0"/>
              <w:adjustRightInd w:val="0"/>
              <w:spacing w:after="0" w:line="240" w:lineRule="auto"/>
              <w:rPr>
                <w:rFonts w:ascii="Times New Roman" w:hAnsi="Times New Roman"/>
              </w:rPr>
            </w:pPr>
            <w:r w:rsidRPr="001A41FE">
              <w:rPr>
                <w:rFonts w:ascii="Times New Roman" w:hAnsi="Times New Roman"/>
              </w:rPr>
              <w:t>reduction factories. Because of the costs of such studies, it is unlikely that such a large-scale tagging study will</w:t>
            </w:r>
          </w:p>
          <w:p w14:paraId="63A20277" w14:textId="77777777" w:rsidR="00E876C8" w:rsidRPr="001A41FE" w:rsidRDefault="00E876C8" w:rsidP="00E876C8">
            <w:pPr>
              <w:autoSpaceDE w:val="0"/>
              <w:autoSpaceDN w:val="0"/>
              <w:adjustRightInd w:val="0"/>
              <w:spacing w:after="0" w:line="240" w:lineRule="auto"/>
              <w:rPr>
                <w:rFonts w:ascii="Times New Roman" w:hAnsi="Times New Roman"/>
              </w:rPr>
            </w:pPr>
            <w:r w:rsidRPr="001A41FE">
              <w:rPr>
                <w:rFonts w:ascii="Times New Roman" w:hAnsi="Times New Roman"/>
              </w:rPr>
              <w:t>ever be performed again. However, leaps in the computational power and statistical modeling approaches in</w:t>
            </w:r>
          </w:p>
          <w:p w14:paraId="59458338" w14:textId="77777777" w:rsidR="00E876C8" w:rsidRPr="001A41FE" w:rsidRDefault="00E876C8" w:rsidP="00E876C8">
            <w:pPr>
              <w:autoSpaceDE w:val="0"/>
              <w:autoSpaceDN w:val="0"/>
              <w:adjustRightInd w:val="0"/>
              <w:spacing w:after="0" w:line="240" w:lineRule="auto"/>
              <w:rPr>
                <w:rFonts w:ascii="Times New Roman" w:hAnsi="Times New Roman"/>
              </w:rPr>
            </w:pPr>
            <w:r w:rsidRPr="001A41FE">
              <w:rPr>
                <w:rFonts w:ascii="Times New Roman" w:hAnsi="Times New Roman"/>
              </w:rPr>
              <w:t xml:space="preserve">recent decades </w:t>
            </w:r>
            <w:proofErr w:type="gramStart"/>
            <w:r w:rsidRPr="001A41FE">
              <w:rPr>
                <w:rFonts w:ascii="Times New Roman" w:hAnsi="Times New Roman"/>
              </w:rPr>
              <w:t>has</w:t>
            </w:r>
            <w:proofErr w:type="gramEnd"/>
            <w:r w:rsidRPr="001A41FE">
              <w:rPr>
                <w:rFonts w:ascii="Times New Roman" w:hAnsi="Times New Roman"/>
              </w:rPr>
              <w:t xml:space="preserve"> made re-analysis of the previously collected data a very worthwhile endeavor. Currently,</w:t>
            </w:r>
          </w:p>
          <w:p w14:paraId="6865D6A5" w14:textId="0138C364" w:rsidR="00432CB4" w:rsidRPr="001A41FE" w:rsidRDefault="00E876C8" w:rsidP="00AE4AF9">
            <w:pPr>
              <w:autoSpaceDE w:val="0"/>
              <w:autoSpaceDN w:val="0"/>
              <w:adjustRightInd w:val="0"/>
              <w:spacing w:after="0" w:line="240" w:lineRule="auto"/>
              <w:rPr>
                <w:rFonts w:ascii="Times New Roman" w:hAnsi="Times New Roman"/>
              </w:rPr>
            </w:pPr>
            <w:r w:rsidRPr="001A41FE">
              <w:rPr>
                <w:rFonts w:ascii="Times New Roman" w:hAnsi="Times New Roman"/>
              </w:rPr>
              <w:t>the data from these tagging studies reside as paper copies kept at the Southeast Fishery Science Center,</w:t>
            </w:r>
            <w:r w:rsidR="00AE4AF9" w:rsidRPr="001A41FE">
              <w:rPr>
                <w:rFonts w:ascii="Times New Roman" w:hAnsi="Times New Roman"/>
              </w:rPr>
              <w:t xml:space="preserve"> </w:t>
            </w:r>
            <w:r w:rsidRPr="001A41FE">
              <w:rPr>
                <w:rFonts w:ascii="Times New Roman" w:hAnsi="Times New Roman"/>
              </w:rPr>
              <w:t>Beaufort, NC and are not available for digital analysis.</w:t>
            </w:r>
            <w:bookmarkStart w:id="0" w:name="_GoBack"/>
            <w:bookmarkEnd w:id="0"/>
          </w:p>
        </w:tc>
      </w:tr>
      <w:tr w:rsidR="0044226B" w:rsidRPr="001A41FE" w14:paraId="3E85B8CE" w14:textId="77777777" w:rsidTr="00A328F5">
        <w:trPr>
          <w:trHeight w:val="1755"/>
          <w:tblCellSpacing w:w="15" w:type="dxa"/>
        </w:trPr>
        <w:tc>
          <w:tcPr>
            <w:tcW w:w="9840" w:type="dxa"/>
            <w:gridSpan w:val="2"/>
            <w:tcBorders>
              <w:top w:val="outset" w:sz="6" w:space="0" w:color="auto"/>
              <w:left w:val="outset" w:sz="6" w:space="0" w:color="auto"/>
              <w:bottom w:val="outset" w:sz="6" w:space="0" w:color="auto"/>
              <w:right w:val="outset" w:sz="6" w:space="0" w:color="auto"/>
            </w:tcBorders>
          </w:tcPr>
          <w:p w14:paraId="5F78F617" w14:textId="3B9885D0" w:rsidR="00432CB4" w:rsidRPr="001A41FE" w:rsidRDefault="0044226B" w:rsidP="00AE4AF9">
            <w:pPr>
              <w:autoSpaceDE w:val="0"/>
              <w:autoSpaceDN w:val="0"/>
              <w:adjustRightInd w:val="0"/>
              <w:spacing w:after="0" w:line="240" w:lineRule="auto"/>
              <w:rPr>
                <w:rFonts w:ascii="Times New Roman" w:hAnsi="Times New Roman"/>
              </w:rPr>
            </w:pPr>
            <w:r w:rsidRPr="001A41FE">
              <w:rPr>
                <w:rFonts w:ascii="Times New Roman" w:eastAsia="Times New Roman" w:hAnsi="Times New Roman"/>
                <w:b/>
                <w:bCs/>
              </w:rPr>
              <w:t xml:space="preserve"> </w:t>
            </w:r>
            <w:r w:rsidR="00432CB4" w:rsidRPr="001A41FE">
              <w:rPr>
                <w:rFonts w:ascii="Times New Roman" w:eastAsia="Times New Roman" w:hAnsi="Times New Roman"/>
                <w:b/>
                <w:bCs/>
              </w:rPr>
              <w:t>Deliverables</w:t>
            </w:r>
            <w:r w:rsidRPr="001A41FE">
              <w:rPr>
                <w:rFonts w:ascii="Times New Roman" w:eastAsia="Times New Roman" w:hAnsi="Times New Roman"/>
              </w:rPr>
              <w:t>:</w:t>
            </w:r>
            <w:r w:rsidR="00A002B7" w:rsidRPr="001A41FE">
              <w:rPr>
                <w:rFonts w:ascii="Times New Roman" w:eastAsia="Times New Roman" w:hAnsi="Times New Roman"/>
              </w:rPr>
              <w:t xml:space="preserve"> </w:t>
            </w:r>
            <w:r w:rsidR="00AE4AF9" w:rsidRPr="001A41FE">
              <w:rPr>
                <w:rFonts w:ascii="Times New Roman" w:hAnsi="Times New Roman"/>
              </w:rPr>
              <w:t>We propose to partner with NOAA scientists at the Beaufort Lab, who have agreed to support our efforts. We will perform exploratory analysis to understand the feasibility of a comprehensive reanalysis of the tag and recapture data. Our primary focus will be to catalog, organize, and summarize the paper records held by NOAA at Beaufort. The primary focus will be to evaluate the paper data for completeness for the Gulf of Mexico Menhaden Stock.</w:t>
            </w:r>
            <w:r w:rsidR="00AE4AF9" w:rsidRPr="001A41FE">
              <w:rPr>
                <w:rFonts w:ascii="Times New Roman" w:eastAsia="Times New Roman" w:hAnsi="Times New Roman"/>
              </w:rPr>
              <w:t xml:space="preserve"> Milestones include (1) acquisition of necessary, existing data resources, (2) Quality assurance and quality control, (</w:t>
            </w:r>
            <w:r w:rsidR="00166ADE" w:rsidRPr="001A41FE">
              <w:rPr>
                <w:rFonts w:ascii="Times New Roman" w:eastAsia="Times New Roman" w:hAnsi="Times New Roman"/>
              </w:rPr>
              <w:t>3</w:t>
            </w:r>
            <w:r w:rsidR="00AE4AF9" w:rsidRPr="001A41FE">
              <w:rPr>
                <w:rFonts w:ascii="Times New Roman" w:eastAsia="Times New Roman" w:hAnsi="Times New Roman"/>
              </w:rPr>
              <w:t>) Evaluation of utility.</w:t>
            </w:r>
          </w:p>
        </w:tc>
      </w:tr>
      <w:tr w:rsidR="0044226B" w:rsidRPr="001A41FE" w14:paraId="105EC0D0" w14:textId="77777777" w:rsidTr="00012290">
        <w:trPr>
          <w:trHeight w:val="396"/>
          <w:tblCellSpacing w:w="15" w:type="dxa"/>
        </w:trPr>
        <w:tc>
          <w:tcPr>
            <w:tcW w:w="9840" w:type="dxa"/>
            <w:gridSpan w:val="2"/>
            <w:tcBorders>
              <w:top w:val="outset" w:sz="6" w:space="0" w:color="auto"/>
              <w:left w:val="outset" w:sz="6" w:space="0" w:color="auto"/>
              <w:bottom w:val="outset" w:sz="6" w:space="0" w:color="auto"/>
              <w:right w:val="outset" w:sz="6" w:space="0" w:color="auto"/>
            </w:tcBorders>
          </w:tcPr>
          <w:p w14:paraId="2112CA4E" w14:textId="1A55C94B" w:rsidR="00166ADE" w:rsidRPr="001A41FE" w:rsidRDefault="00432CB4" w:rsidP="00166ADE">
            <w:pPr>
              <w:rPr>
                <w:rFonts w:ascii="Times New Roman" w:hAnsi="Times New Roman"/>
              </w:rPr>
            </w:pPr>
            <w:r w:rsidRPr="001A41FE">
              <w:rPr>
                <w:rFonts w:ascii="Times New Roman" w:hAnsi="Times New Roman"/>
                <w:b/>
                <w:bCs/>
              </w:rPr>
              <w:t>Status relative to deliverables</w:t>
            </w:r>
            <w:r w:rsidR="0044226B" w:rsidRPr="001A41FE">
              <w:rPr>
                <w:rFonts w:ascii="Times New Roman" w:hAnsi="Times New Roman"/>
                <w:b/>
              </w:rPr>
              <w:t>:</w:t>
            </w:r>
            <w:r w:rsidR="00AE4AF9" w:rsidRPr="001A41FE">
              <w:rPr>
                <w:rFonts w:ascii="Times New Roman" w:hAnsi="Times New Roman"/>
                <w:b/>
              </w:rPr>
              <w:t xml:space="preserve"> </w:t>
            </w:r>
            <w:r w:rsidR="00AE4AF9" w:rsidRPr="001A41FE">
              <w:rPr>
                <w:rFonts w:ascii="Times New Roman" w:hAnsi="Times New Roman"/>
              </w:rPr>
              <w:t>We have made substantial progress in deliverables 1 and 2 (3 is contingent on</w:t>
            </w:r>
            <w:r w:rsidR="00166ADE" w:rsidRPr="001A41FE">
              <w:rPr>
                <w:rFonts w:ascii="Times New Roman" w:hAnsi="Times New Roman"/>
              </w:rPr>
              <w:t xml:space="preserve"> the previous two deliverables). </w:t>
            </w:r>
            <w:proofErr w:type="spellStart"/>
            <w:r w:rsidR="00166ADE" w:rsidRPr="001A41FE">
              <w:rPr>
                <w:rFonts w:ascii="Times New Roman" w:hAnsi="Times New Roman"/>
              </w:rPr>
              <w:t>Kasea</w:t>
            </w:r>
            <w:proofErr w:type="spellEnd"/>
            <w:r w:rsidR="00166ADE" w:rsidRPr="001A41FE">
              <w:rPr>
                <w:rFonts w:ascii="Times New Roman" w:hAnsi="Times New Roman"/>
              </w:rPr>
              <w:t xml:space="preserve"> Price traveled to Beaufort, NC and was hosted by Amy </w:t>
            </w:r>
            <w:proofErr w:type="spellStart"/>
            <w:r w:rsidR="00166ADE" w:rsidRPr="001A41FE">
              <w:rPr>
                <w:rFonts w:ascii="Times New Roman" w:hAnsi="Times New Roman"/>
              </w:rPr>
              <w:t>Scheuller</w:t>
            </w:r>
            <w:proofErr w:type="spellEnd"/>
            <w:r w:rsidR="00166ADE" w:rsidRPr="001A41FE">
              <w:rPr>
                <w:rFonts w:ascii="Times New Roman" w:hAnsi="Times New Roman"/>
              </w:rPr>
              <w:t xml:space="preserve"> at </w:t>
            </w:r>
            <w:r w:rsidR="00166ADE" w:rsidRPr="001A41FE">
              <w:rPr>
                <w:rFonts w:ascii="Times New Roman" w:hAnsi="Times New Roman"/>
                <w:color w:val="000000"/>
                <w:shd w:val="clear" w:color="auto" w:fill="FFFFFF"/>
              </w:rPr>
              <w:t>The NOAA Southeast Fisheries Science Center. She was there from September 30</w:t>
            </w:r>
            <w:r w:rsidR="00166ADE" w:rsidRPr="001A41FE">
              <w:rPr>
                <w:rFonts w:ascii="Times New Roman" w:hAnsi="Times New Roman"/>
                <w:color w:val="000000"/>
                <w:shd w:val="clear" w:color="auto" w:fill="FFFFFF"/>
                <w:vertAlign w:val="superscript"/>
              </w:rPr>
              <w:t>th</w:t>
            </w:r>
            <w:r w:rsidR="00166ADE" w:rsidRPr="001A41FE">
              <w:rPr>
                <w:rFonts w:ascii="Times New Roman" w:hAnsi="Times New Roman"/>
                <w:color w:val="000000"/>
                <w:shd w:val="clear" w:color="auto" w:fill="FFFFFF"/>
              </w:rPr>
              <w:t xml:space="preserve"> to October 4</w:t>
            </w:r>
            <w:r w:rsidR="00166ADE" w:rsidRPr="001A41FE">
              <w:rPr>
                <w:rFonts w:ascii="Times New Roman" w:hAnsi="Times New Roman"/>
                <w:color w:val="000000"/>
                <w:shd w:val="clear" w:color="auto" w:fill="FFFFFF"/>
                <w:vertAlign w:val="superscript"/>
              </w:rPr>
              <w:t>th</w:t>
            </w:r>
            <w:r w:rsidR="00166ADE" w:rsidRPr="001A41FE">
              <w:rPr>
                <w:rFonts w:ascii="Times New Roman" w:hAnsi="Times New Roman"/>
                <w:color w:val="000000"/>
                <w:shd w:val="clear" w:color="auto" w:fill="FFFFFF"/>
              </w:rPr>
              <w:t xml:space="preserve">. During her visit, she spent the week sorting through Gulf Menhaden tag/recapture data. She found there were juvenile and adult data sets. These documents were scanned using an Epson DS-50000 Large-Format Document Scanner. We have cataloged the data and have started to evaluate its utility (milestone 3).  </w:t>
            </w:r>
            <w:r w:rsidR="00A328F5" w:rsidRPr="001A41FE">
              <w:rPr>
                <w:rFonts w:ascii="Times New Roman" w:hAnsi="Times New Roman"/>
                <w:color w:val="000000"/>
                <w:shd w:val="clear" w:color="auto" w:fill="FFFFFF"/>
              </w:rPr>
              <w:t>We have scanned all documents and are now entering them into a data base.</w:t>
            </w:r>
          </w:p>
          <w:p w14:paraId="7290AF38" w14:textId="2D78DAA7" w:rsidR="0044226B" w:rsidRPr="001A41FE" w:rsidRDefault="00C06BC6" w:rsidP="00CA5FE2">
            <w:pPr>
              <w:spacing w:before="100" w:beforeAutospacing="1" w:after="100" w:afterAutospacing="1" w:line="220" w:lineRule="exact"/>
              <w:rPr>
                <w:rFonts w:ascii="Times New Roman" w:eastAsia="Times New Roman" w:hAnsi="Times New Roman"/>
              </w:rPr>
            </w:pPr>
            <w:r w:rsidRPr="001A41FE">
              <w:rPr>
                <w:rFonts w:ascii="Times New Roman" w:eastAsia="Times New Roman" w:hAnsi="Times New Roman"/>
              </w:rPr>
              <w:t>The data components (binders of print outs) include:</w:t>
            </w:r>
          </w:p>
          <w:p w14:paraId="1069094B" w14:textId="35DEB785" w:rsidR="00C06BC6" w:rsidRPr="001A41FE" w:rsidRDefault="00C06BC6" w:rsidP="00C06BC6">
            <w:pPr>
              <w:pStyle w:val="ListParagraph"/>
              <w:numPr>
                <w:ilvl w:val="0"/>
                <w:numId w:val="1"/>
              </w:numPr>
              <w:spacing w:before="100" w:beforeAutospacing="1" w:after="100" w:afterAutospacing="1" w:line="220" w:lineRule="exact"/>
              <w:rPr>
                <w:rFonts w:ascii="Times New Roman" w:eastAsia="Times New Roman" w:hAnsi="Times New Roman"/>
              </w:rPr>
            </w:pPr>
            <w:r w:rsidRPr="001A41FE">
              <w:rPr>
                <w:rFonts w:ascii="Times New Roman" w:hAnsi="Times New Roman"/>
                <w:sz w:val="24"/>
                <w:szCs w:val="24"/>
              </w:rPr>
              <w:t>Adult Field – Gulf: Tag and recapture data</w:t>
            </w:r>
          </w:p>
          <w:p w14:paraId="3C332928" w14:textId="10CFB63E" w:rsidR="00C06BC6" w:rsidRPr="001A41FE" w:rsidRDefault="00C06BC6" w:rsidP="00C06BC6">
            <w:pPr>
              <w:pStyle w:val="ListParagraph"/>
              <w:numPr>
                <w:ilvl w:val="0"/>
                <w:numId w:val="1"/>
              </w:numPr>
              <w:spacing w:before="100" w:beforeAutospacing="1" w:after="100" w:afterAutospacing="1" w:line="220" w:lineRule="exact"/>
              <w:rPr>
                <w:rFonts w:ascii="Times New Roman" w:eastAsia="Times New Roman" w:hAnsi="Times New Roman"/>
              </w:rPr>
            </w:pPr>
            <w:r w:rsidRPr="001A41FE">
              <w:rPr>
                <w:rFonts w:ascii="Times New Roman" w:hAnsi="Times New Roman"/>
                <w:sz w:val="24"/>
                <w:szCs w:val="24"/>
              </w:rPr>
              <w:t xml:space="preserve">Adult Field Recoveries </w:t>
            </w:r>
          </w:p>
          <w:p w14:paraId="383AC78C" w14:textId="599EA35E" w:rsidR="00C06BC6" w:rsidRPr="001A41FE" w:rsidRDefault="00C06BC6" w:rsidP="00C06BC6">
            <w:pPr>
              <w:pStyle w:val="ListParagraph"/>
              <w:numPr>
                <w:ilvl w:val="0"/>
                <w:numId w:val="1"/>
              </w:numPr>
              <w:spacing w:before="100" w:beforeAutospacing="1" w:after="100" w:afterAutospacing="1" w:line="220" w:lineRule="exact"/>
              <w:rPr>
                <w:rFonts w:ascii="Times New Roman" w:eastAsia="Times New Roman" w:hAnsi="Times New Roman"/>
              </w:rPr>
            </w:pPr>
            <w:r w:rsidRPr="001A41FE">
              <w:rPr>
                <w:rFonts w:ascii="Times New Roman" w:hAnsi="Times New Roman"/>
                <w:sz w:val="24"/>
                <w:szCs w:val="24"/>
              </w:rPr>
              <w:t xml:space="preserve">Juvenile Field and First Fishing </w:t>
            </w:r>
          </w:p>
          <w:p w14:paraId="4DCC7581" w14:textId="56FFEBBD" w:rsidR="00C06BC6" w:rsidRPr="001A41FE" w:rsidRDefault="00C06BC6" w:rsidP="00C06BC6">
            <w:pPr>
              <w:pStyle w:val="ListParagraph"/>
              <w:numPr>
                <w:ilvl w:val="0"/>
                <w:numId w:val="1"/>
              </w:numPr>
              <w:spacing w:before="100" w:beforeAutospacing="1" w:after="100" w:afterAutospacing="1" w:line="220" w:lineRule="exact"/>
              <w:rPr>
                <w:rFonts w:ascii="Times New Roman" w:eastAsia="Times New Roman" w:hAnsi="Times New Roman"/>
              </w:rPr>
            </w:pPr>
            <w:r w:rsidRPr="001A41FE">
              <w:rPr>
                <w:rFonts w:ascii="Times New Roman" w:hAnsi="Times New Roman"/>
                <w:sz w:val="24"/>
                <w:szCs w:val="24"/>
              </w:rPr>
              <w:t>Juvenile Field Recoveries</w:t>
            </w:r>
          </w:p>
          <w:p w14:paraId="0E22C990" w14:textId="77777777" w:rsidR="00432CB4" w:rsidRDefault="00407A70" w:rsidP="00B53E69">
            <w:pPr>
              <w:spacing w:before="100" w:beforeAutospacing="1" w:after="100" w:afterAutospacing="1" w:line="220" w:lineRule="exact"/>
              <w:rPr>
                <w:rFonts w:ascii="Times New Roman" w:eastAsia="Times New Roman" w:hAnsi="Times New Roman"/>
              </w:rPr>
            </w:pPr>
            <w:r w:rsidRPr="001A41FE">
              <w:rPr>
                <w:rFonts w:ascii="Times New Roman" w:eastAsia="Times New Roman" w:hAnsi="Times New Roman"/>
              </w:rPr>
              <w:t>There were some superfluous and some data that could not be assigned and we will not digitize these.</w:t>
            </w:r>
          </w:p>
          <w:p w14:paraId="2B0F989E" w14:textId="05F7CA91" w:rsidR="00B53E69" w:rsidRPr="001A41FE" w:rsidRDefault="00B53E69" w:rsidP="00B53E69">
            <w:pPr>
              <w:spacing w:before="100" w:beforeAutospacing="1" w:after="100" w:afterAutospacing="1" w:line="220" w:lineRule="exact"/>
              <w:rPr>
                <w:rFonts w:ascii="Times New Roman" w:eastAsia="Times New Roman" w:hAnsi="Times New Roman"/>
              </w:rPr>
            </w:pPr>
          </w:p>
        </w:tc>
      </w:tr>
      <w:tr w:rsidR="0044226B" w:rsidRPr="001A41FE" w14:paraId="0EB26C7A" w14:textId="77777777" w:rsidTr="00012290">
        <w:trPr>
          <w:trHeight w:val="405"/>
          <w:tblCellSpacing w:w="15" w:type="dxa"/>
        </w:trPr>
        <w:tc>
          <w:tcPr>
            <w:tcW w:w="9840" w:type="dxa"/>
            <w:gridSpan w:val="2"/>
            <w:tcBorders>
              <w:top w:val="outset" w:sz="6" w:space="0" w:color="auto"/>
              <w:left w:val="outset" w:sz="6" w:space="0" w:color="auto"/>
              <w:bottom w:val="outset" w:sz="6" w:space="0" w:color="auto"/>
              <w:right w:val="outset" w:sz="6" w:space="0" w:color="auto"/>
            </w:tcBorders>
          </w:tcPr>
          <w:p w14:paraId="6EEDC8EA" w14:textId="77777777" w:rsidR="0044226B" w:rsidRPr="001A41FE" w:rsidRDefault="00432CB4" w:rsidP="00CA5FE2">
            <w:pPr>
              <w:spacing w:before="100" w:beforeAutospacing="1" w:after="100" w:afterAutospacing="1" w:line="220" w:lineRule="exact"/>
              <w:rPr>
                <w:rFonts w:ascii="Times New Roman" w:eastAsia="Times New Roman" w:hAnsi="Times New Roman"/>
              </w:rPr>
            </w:pPr>
            <w:r w:rsidRPr="001A41FE">
              <w:rPr>
                <w:rFonts w:ascii="Times New Roman" w:eastAsia="Times New Roman" w:hAnsi="Times New Roman"/>
                <w:b/>
              </w:rPr>
              <w:t>Summary of results relative to deliverables</w:t>
            </w:r>
            <w:r w:rsidR="0044226B" w:rsidRPr="001A41FE">
              <w:rPr>
                <w:rFonts w:ascii="Times New Roman" w:eastAsia="Times New Roman" w:hAnsi="Times New Roman"/>
                <w:b/>
              </w:rPr>
              <w:t>:</w:t>
            </w:r>
          </w:p>
          <w:p w14:paraId="77F2E666" w14:textId="679B4538" w:rsidR="00432CB4" w:rsidRDefault="00A328F5" w:rsidP="00CA5FE2">
            <w:pPr>
              <w:spacing w:before="100" w:beforeAutospacing="1" w:after="100" w:afterAutospacing="1" w:line="220" w:lineRule="exact"/>
              <w:rPr>
                <w:rFonts w:ascii="Times New Roman" w:eastAsia="Times New Roman" w:hAnsi="Times New Roman"/>
              </w:rPr>
            </w:pPr>
            <w:r w:rsidRPr="001A41FE">
              <w:rPr>
                <w:rFonts w:ascii="Times New Roman" w:eastAsia="Times New Roman" w:hAnsi="Times New Roman"/>
              </w:rPr>
              <w:lastRenderedPageBreak/>
              <w:t xml:space="preserve">The preliminary results of our analysis, in terms of the completeness of the data, is encouraging. We have summarized the results from the Adult sampling and </w:t>
            </w:r>
            <w:r w:rsidR="002D4DDA" w:rsidRPr="001A41FE">
              <w:rPr>
                <w:rFonts w:ascii="Times New Roman" w:eastAsia="Times New Roman" w:hAnsi="Times New Roman"/>
              </w:rPr>
              <w:t xml:space="preserve">there are many fish that were </w:t>
            </w:r>
            <w:proofErr w:type="gramStart"/>
            <w:r w:rsidR="002D4DDA" w:rsidRPr="001A41FE">
              <w:rPr>
                <w:rFonts w:ascii="Times New Roman" w:eastAsia="Times New Roman" w:hAnsi="Times New Roman"/>
              </w:rPr>
              <w:t>released</w:t>
            </w:r>
            <w:proofErr w:type="gramEnd"/>
            <w:r w:rsidR="002D4DDA" w:rsidRPr="001A41FE">
              <w:rPr>
                <w:rFonts w:ascii="Times New Roman" w:eastAsia="Times New Roman" w:hAnsi="Times New Roman"/>
              </w:rPr>
              <w:t xml:space="preserve"> and many were recaptured after months or seasons at large. </w:t>
            </w:r>
          </w:p>
          <w:p w14:paraId="0D619798" w14:textId="14496265" w:rsidR="00432CB4" w:rsidRPr="001A41FE" w:rsidRDefault="00C06BC6" w:rsidP="00CA5FE2">
            <w:pPr>
              <w:spacing w:before="100" w:beforeAutospacing="1" w:after="100" w:afterAutospacing="1" w:line="220" w:lineRule="exact"/>
              <w:rPr>
                <w:rFonts w:ascii="Times New Roman" w:eastAsia="Times New Roman" w:hAnsi="Times New Roman"/>
              </w:rPr>
            </w:pPr>
            <w:r w:rsidRPr="001A41FE">
              <w:rPr>
                <w:rFonts w:ascii="Times New Roman" w:eastAsia="Times New Roman" w:hAnsi="Times New Roman"/>
              </w:rPr>
              <w:t xml:space="preserve">We are working to digitize the records for the juvenile component of the population. </w:t>
            </w:r>
          </w:p>
          <w:p w14:paraId="7D612054" w14:textId="77777777" w:rsidR="00432CB4" w:rsidRPr="001A41FE" w:rsidRDefault="00C06BC6" w:rsidP="00407A70">
            <w:pPr>
              <w:spacing w:before="100" w:beforeAutospacing="1" w:after="100" w:afterAutospacing="1" w:line="220" w:lineRule="exact"/>
              <w:rPr>
                <w:rFonts w:ascii="Times New Roman" w:eastAsia="Times New Roman" w:hAnsi="Times New Roman"/>
              </w:rPr>
            </w:pPr>
            <w:r w:rsidRPr="001A41FE">
              <w:rPr>
                <w:rFonts w:ascii="Times New Roman" w:eastAsia="Times New Roman" w:hAnsi="Times New Roman"/>
              </w:rPr>
              <w:t xml:space="preserve">These preliminary results are encouraging. In order to </w:t>
            </w:r>
            <w:r w:rsidR="00407A70" w:rsidRPr="001A41FE">
              <w:rPr>
                <w:rFonts w:ascii="Times New Roman" w:eastAsia="Times New Roman" w:hAnsi="Times New Roman"/>
              </w:rPr>
              <w:t>estimate natural mortality rates we need sufficient number of fish tagged and sufficient number of recaptures (2 to 11</w:t>
            </w:r>
            <w:proofErr w:type="gramStart"/>
            <w:r w:rsidR="00407A70" w:rsidRPr="001A41FE">
              <w:rPr>
                <w:rFonts w:ascii="Times New Roman" w:eastAsia="Times New Roman" w:hAnsi="Times New Roman"/>
              </w:rPr>
              <w:t>%  that</w:t>
            </w:r>
            <w:proofErr w:type="gramEnd"/>
            <w:r w:rsidR="00407A70" w:rsidRPr="001A41FE">
              <w:rPr>
                <w:rFonts w:ascii="Times New Roman" w:eastAsia="Times New Roman" w:hAnsi="Times New Roman"/>
              </w:rPr>
              <w:t xml:space="preserve"> we observe is great). </w:t>
            </w:r>
          </w:p>
          <w:p w14:paraId="1E17B61E" w14:textId="19877A07" w:rsidR="00407A70" w:rsidRPr="001A41FE" w:rsidRDefault="00407A70" w:rsidP="00407A70">
            <w:pPr>
              <w:spacing w:before="100" w:beforeAutospacing="1" w:after="100" w:afterAutospacing="1" w:line="220" w:lineRule="exact"/>
              <w:rPr>
                <w:rFonts w:ascii="Times New Roman" w:eastAsia="Times New Roman" w:hAnsi="Times New Roman"/>
              </w:rPr>
            </w:pPr>
          </w:p>
        </w:tc>
      </w:tr>
      <w:tr w:rsidR="0044226B" w:rsidRPr="001A41FE" w14:paraId="65F1A53F" w14:textId="77777777" w:rsidTr="002375A7">
        <w:trPr>
          <w:trHeight w:val="423"/>
          <w:tblCellSpacing w:w="15" w:type="dxa"/>
        </w:trPr>
        <w:tc>
          <w:tcPr>
            <w:tcW w:w="9840" w:type="dxa"/>
            <w:gridSpan w:val="2"/>
            <w:tcBorders>
              <w:top w:val="outset" w:sz="6" w:space="0" w:color="auto"/>
              <w:left w:val="outset" w:sz="6" w:space="0" w:color="auto"/>
              <w:bottom w:val="outset" w:sz="6" w:space="0" w:color="auto"/>
              <w:right w:val="outset" w:sz="6" w:space="0" w:color="auto"/>
            </w:tcBorders>
          </w:tcPr>
          <w:p w14:paraId="0EFD054E" w14:textId="42E223C3" w:rsidR="00432CB4" w:rsidRPr="001A41FE" w:rsidRDefault="00432CB4" w:rsidP="002375A7">
            <w:pPr>
              <w:spacing w:before="100" w:beforeAutospacing="1" w:after="100" w:afterAutospacing="1" w:line="220" w:lineRule="exact"/>
              <w:jc w:val="both"/>
              <w:rPr>
                <w:rFonts w:ascii="Times New Roman" w:eastAsia="Times New Roman" w:hAnsi="Times New Roman"/>
              </w:rPr>
            </w:pPr>
            <w:r w:rsidRPr="001A41FE">
              <w:rPr>
                <w:rFonts w:ascii="Times New Roman" w:eastAsia="Times New Roman" w:hAnsi="Times New Roman"/>
                <w:b/>
                <w:bCs/>
              </w:rPr>
              <w:lastRenderedPageBreak/>
              <w:t>Challenges to project completion and recommendations addressing the same</w:t>
            </w:r>
            <w:r w:rsidRPr="001A41FE">
              <w:rPr>
                <w:rFonts w:ascii="Times New Roman" w:eastAsia="Times New Roman" w:hAnsi="Times New Roman"/>
              </w:rPr>
              <w:t>:</w:t>
            </w:r>
          </w:p>
          <w:p w14:paraId="30216944" w14:textId="71D64572" w:rsidR="00407A70" w:rsidRPr="001A41FE" w:rsidRDefault="00407A70" w:rsidP="002375A7">
            <w:pPr>
              <w:spacing w:before="100" w:beforeAutospacing="1" w:after="100" w:afterAutospacing="1" w:line="220" w:lineRule="exact"/>
              <w:jc w:val="both"/>
              <w:rPr>
                <w:rFonts w:ascii="Times New Roman" w:eastAsia="Times New Roman" w:hAnsi="Times New Roman"/>
              </w:rPr>
            </w:pPr>
            <w:r w:rsidRPr="001A41FE">
              <w:rPr>
                <w:rFonts w:ascii="Times New Roman" w:eastAsia="Times New Roman" w:hAnsi="Times New Roman"/>
              </w:rPr>
              <w:t xml:space="preserve">Thus far the main challenge has been the speed of data entry. I have tasked one technician and an undergraduate volunteer to perform data entry. The addition of the volunteer has helped immensely. Once we have digitized all </w:t>
            </w:r>
            <w:r w:rsidR="00091340" w:rsidRPr="001A41FE">
              <w:rPr>
                <w:rFonts w:ascii="Times New Roman" w:eastAsia="Times New Roman" w:hAnsi="Times New Roman"/>
              </w:rPr>
              <w:t>records,</w:t>
            </w:r>
            <w:r w:rsidRPr="001A41FE">
              <w:rPr>
                <w:rFonts w:ascii="Times New Roman" w:eastAsia="Times New Roman" w:hAnsi="Times New Roman"/>
              </w:rPr>
              <w:t xml:space="preserve"> we will move to the third deliverable.</w:t>
            </w:r>
          </w:p>
          <w:p w14:paraId="2E251524" w14:textId="77777777" w:rsidR="00432CB4" w:rsidRPr="001A41FE" w:rsidRDefault="00407A70" w:rsidP="00407A70">
            <w:pPr>
              <w:spacing w:before="100" w:beforeAutospacing="1" w:after="100" w:afterAutospacing="1" w:line="220" w:lineRule="exact"/>
              <w:jc w:val="both"/>
              <w:rPr>
                <w:rFonts w:ascii="Times New Roman" w:eastAsia="Times New Roman" w:hAnsi="Times New Roman"/>
              </w:rPr>
            </w:pPr>
            <w:r w:rsidRPr="001A41FE">
              <w:rPr>
                <w:rFonts w:ascii="Times New Roman" w:eastAsia="Times New Roman" w:hAnsi="Times New Roman"/>
              </w:rPr>
              <w:t>Although, I would characterize the adult component work to be very positive – the juvenile data have yet to be transcribed (though we have scanned these records). I cannot comment on the quality (in terms of numbers tagged and recaptured) yet.</w:t>
            </w:r>
          </w:p>
          <w:p w14:paraId="6DF8340C" w14:textId="3D1EAAEE" w:rsidR="003F03DE" w:rsidRPr="001A41FE" w:rsidRDefault="003F03DE" w:rsidP="00407A70">
            <w:pPr>
              <w:spacing w:before="100" w:beforeAutospacing="1" w:after="100" w:afterAutospacing="1" w:line="220" w:lineRule="exact"/>
              <w:jc w:val="both"/>
              <w:rPr>
                <w:rFonts w:ascii="Times New Roman" w:eastAsia="Times New Roman" w:hAnsi="Times New Roman"/>
              </w:rPr>
            </w:pPr>
            <w:r w:rsidRPr="001A41FE">
              <w:rPr>
                <w:rFonts w:ascii="Times New Roman" w:eastAsia="Times New Roman" w:hAnsi="Times New Roman"/>
              </w:rPr>
              <w:t xml:space="preserve">Given the progress we have made, the final deliverable will be </w:t>
            </w:r>
            <w:r w:rsidR="001A41FE" w:rsidRPr="001A41FE">
              <w:rPr>
                <w:rFonts w:ascii="Times New Roman" w:eastAsia="Times New Roman" w:hAnsi="Times New Roman"/>
              </w:rPr>
              <w:t>attainable by the estimated knowledge transfer date, April 30, 2020.</w:t>
            </w:r>
          </w:p>
        </w:tc>
      </w:tr>
    </w:tbl>
    <w:p w14:paraId="06936BB0" w14:textId="54BADF5F" w:rsidR="0044226B" w:rsidRPr="001A41FE" w:rsidRDefault="0044226B" w:rsidP="005A2601">
      <w:pPr>
        <w:widowControl w:val="0"/>
        <w:spacing w:before="120" w:after="0"/>
        <w:rPr>
          <w:rFonts w:ascii="Times New Roman" w:hAnsi="Times New Roman"/>
        </w:rPr>
      </w:pPr>
    </w:p>
    <w:sectPr w:rsidR="0044226B" w:rsidRPr="001A41FE" w:rsidSect="00DE337D">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7B0"/>
    <w:multiLevelType w:val="hybridMultilevel"/>
    <w:tmpl w:val="DACEB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C5"/>
    <w:rsid w:val="000024D9"/>
    <w:rsid w:val="00012290"/>
    <w:rsid w:val="00041872"/>
    <w:rsid w:val="00057947"/>
    <w:rsid w:val="00087982"/>
    <w:rsid w:val="00091340"/>
    <w:rsid w:val="00091EA8"/>
    <w:rsid w:val="000A2888"/>
    <w:rsid w:val="000A40C6"/>
    <w:rsid w:val="000A4F68"/>
    <w:rsid w:val="000C3E7A"/>
    <w:rsid w:val="000C4EA8"/>
    <w:rsid w:val="000D7478"/>
    <w:rsid w:val="000E2DED"/>
    <w:rsid w:val="00146F93"/>
    <w:rsid w:val="00163557"/>
    <w:rsid w:val="00166ADE"/>
    <w:rsid w:val="001869C4"/>
    <w:rsid w:val="00186C94"/>
    <w:rsid w:val="00192A75"/>
    <w:rsid w:val="001A41FE"/>
    <w:rsid w:val="001B29C4"/>
    <w:rsid w:val="001F5E97"/>
    <w:rsid w:val="0023682F"/>
    <w:rsid w:val="002375A7"/>
    <w:rsid w:val="00264E94"/>
    <w:rsid w:val="0027135A"/>
    <w:rsid w:val="002C1F0F"/>
    <w:rsid w:val="002D4DDA"/>
    <w:rsid w:val="002F46EF"/>
    <w:rsid w:val="00305984"/>
    <w:rsid w:val="00344B1F"/>
    <w:rsid w:val="00362F36"/>
    <w:rsid w:val="003A4F8E"/>
    <w:rsid w:val="003A6A81"/>
    <w:rsid w:val="003E2839"/>
    <w:rsid w:val="003F03DE"/>
    <w:rsid w:val="00407A70"/>
    <w:rsid w:val="00407DA6"/>
    <w:rsid w:val="0042003A"/>
    <w:rsid w:val="00427E71"/>
    <w:rsid w:val="00432CB4"/>
    <w:rsid w:val="0044226B"/>
    <w:rsid w:val="00464782"/>
    <w:rsid w:val="004758A3"/>
    <w:rsid w:val="004B677F"/>
    <w:rsid w:val="004C5AC6"/>
    <w:rsid w:val="004D48C7"/>
    <w:rsid w:val="004D5271"/>
    <w:rsid w:val="004F250D"/>
    <w:rsid w:val="00530B71"/>
    <w:rsid w:val="00544A9C"/>
    <w:rsid w:val="00553EE7"/>
    <w:rsid w:val="005546EC"/>
    <w:rsid w:val="005A2601"/>
    <w:rsid w:val="005E2D1C"/>
    <w:rsid w:val="006147EB"/>
    <w:rsid w:val="006443F8"/>
    <w:rsid w:val="006457D2"/>
    <w:rsid w:val="00676F95"/>
    <w:rsid w:val="00677C12"/>
    <w:rsid w:val="00690264"/>
    <w:rsid w:val="00692D01"/>
    <w:rsid w:val="006979DA"/>
    <w:rsid w:val="006A6E32"/>
    <w:rsid w:val="006B2D90"/>
    <w:rsid w:val="006B3095"/>
    <w:rsid w:val="006B4CCB"/>
    <w:rsid w:val="006B4D47"/>
    <w:rsid w:val="006D5F13"/>
    <w:rsid w:val="00705030"/>
    <w:rsid w:val="00716EAD"/>
    <w:rsid w:val="0073564A"/>
    <w:rsid w:val="007764FF"/>
    <w:rsid w:val="00795BC1"/>
    <w:rsid w:val="007A4153"/>
    <w:rsid w:val="007D3D1E"/>
    <w:rsid w:val="007E0F7A"/>
    <w:rsid w:val="007F6FEC"/>
    <w:rsid w:val="00865407"/>
    <w:rsid w:val="00866725"/>
    <w:rsid w:val="008875A4"/>
    <w:rsid w:val="008A1C54"/>
    <w:rsid w:val="008B47EA"/>
    <w:rsid w:val="008B7043"/>
    <w:rsid w:val="008C25C5"/>
    <w:rsid w:val="008E524D"/>
    <w:rsid w:val="009139C5"/>
    <w:rsid w:val="009A6621"/>
    <w:rsid w:val="009E3548"/>
    <w:rsid w:val="00A002B7"/>
    <w:rsid w:val="00A02200"/>
    <w:rsid w:val="00A27DBF"/>
    <w:rsid w:val="00A328F5"/>
    <w:rsid w:val="00A33AE3"/>
    <w:rsid w:val="00A52D48"/>
    <w:rsid w:val="00AE154C"/>
    <w:rsid w:val="00AE4AF9"/>
    <w:rsid w:val="00B255E5"/>
    <w:rsid w:val="00B43C0A"/>
    <w:rsid w:val="00B45D7C"/>
    <w:rsid w:val="00B51A94"/>
    <w:rsid w:val="00B53D65"/>
    <w:rsid w:val="00B53E69"/>
    <w:rsid w:val="00B57022"/>
    <w:rsid w:val="00B62BCB"/>
    <w:rsid w:val="00B85A0D"/>
    <w:rsid w:val="00BC7632"/>
    <w:rsid w:val="00C06BC6"/>
    <w:rsid w:val="00C122F7"/>
    <w:rsid w:val="00C175F3"/>
    <w:rsid w:val="00C20D62"/>
    <w:rsid w:val="00C25AFE"/>
    <w:rsid w:val="00C316A3"/>
    <w:rsid w:val="00C3292E"/>
    <w:rsid w:val="00C32E5F"/>
    <w:rsid w:val="00CA5FE2"/>
    <w:rsid w:val="00CF4D5A"/>
    <w:rsid w:val="00CF6016"/>
    <w:rsid w:val="00D362A4"/>
    <w:rsid w:val="00D402A1"/>
    <w:rsid w:val="00D53B6F"/>
    <w:rsid w:val="00D706E1"/>
    <w:rsid w:val="00D71F52"/>
    <w:rsid w:val="00D9459E"/>
    <w:rsid w:val="00D94895"/>
    <w:rsid w:val="00DA6854"/>
    <w:rsid w:val="00DC27FA"/>
    <w:rsid w:val="00DE337D"/>
    <w:rsid w:val="00DF3022"/>
    <w:rsid w:val="00E47C15"/>
    <w:rsid w:val="00E876C8"/>
    <w:rsid w:val="00E9732F"/>
    <w:rsid w:val="00EA0E00"/>
    <w:rsid w:val="00EF3661"/>
    <w:rsid w:val="00F149F8"/>
    <w:rsid w:val="00F45807"/>
    <w:rsid w:val="00F5439D"/>
    <w:rsid w:val="00F84B52"/>
    <w:rsid w:val="00F95B07"/>
    <w:rsid w:val="00FA6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71BA1E"/>
  <w14:defaultImageDpi w14:val="300"/>
  <w15:docId w15:val="{C5139C1D-702A-544A-88B0-2E36435E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39C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D543FE"/>
    <w:rPr>
      <w:sz w:val="18"/>
    </w:rPr>
  </w:style>
  <w:style w:type="paragraph" w:styleId="CommentText">
    <w:name w:val="annotation text"/>
    <w:basedOn w:val="Normal"/>
    <w:semiHidden/>
    <w:rsid w:val="00D543FE"/>
    <w:rPr>
      <w:sz w:val="24"/>
      <w:szCs w:val="24"/>
    </w:rPr>
  </w:style>
  <w:style w:type="paragraph" w:styleId="CommentSubject">
    <w:name w:val="annotation subject"/>
    <w:basedOn w:val="CommentText"/>
    <w:next w:val="CommentText"/>
    <w:semiHidden/>
    <w:rsid w:val="00D543FE"/>
    <w:rPr>
      <w:sz w:val="22"/>
      <w:szCs w:val="22"/>
    </w:rPr>
  </w:style>
  <w:style w:type="paragraph" w:styleId="BalloonText">
    <w:name w:val="Balloon Text"/>
    <w:basedOn w:val="Normal"/>
    <w:semiHidden/>
    <w:rsid w:val="00D543FE"/>
    <w:rPr>
      <w:rFonts w:ascii="Lucida Grande" w:hAnsi="Lucida Grande"/>
      <w:sz w:val="18"/>
      <w:szCs w:val="18"/>
    </w:rPr>
  </w:style>
  <w:style w:type="table" w:styleId="TableGrid">
    <w:name w:val="Table Grid"/>
    <w:basedOn w:val="TableNormal"/>
    <w:uiPriority w:val="59"/>
    <w:rsid w:val="00C06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I/UCRC Executive Summary - Project Synopsis</vt:lpstr>
    </vt:vector>
  </TitlesOfParts>
  <Company>National Science Foundation</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I/UCRC Executive Summary - Project Synopsis</dc:title>
  <dc:subject/>
  <dc:creator>Glenn Larsen</dc:creator>
  <cp:keywords/>
  <dc:description/>
  <cp:lastModifiedBy>Robert Leaf</cp:lastModifiedBy>
  <cp:revision>2</cp:revision>
  <cp:lastPrinted>2012-03-15T17:45:00Z</cp:lastPrinted>
  <dcterms:created xsi:type="dcterms:W3CDTF">2020-04-16T21:54:00Z</dcterms:created>
  <dcterms:modified xsi:type="dcterms:W3CDTF">2020-04-16T21:54:00Z</dcterms:modified>
</cp:coreProperties>
</file>