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dyGOST"/>
        <w:jc w:val="center"/>
      </w:pPr>
      <w:r>
        <w:rPr>
          <w:rFonts w:ascii="Times New Roman" w:hAnsi="Times New Roman" w:eastAsia="Times New Roman"/>
          <w:b/>
          <w:sz w:val="28"/>
        </w:rPr>
        <w:t>АО «КОНТУР ГОСТЕПРИИМСТВА»</w:t>
      </w:r>
    </w:p>
    <w:p>
      <w:pPr>
        <w:pStyle w:val="BodyGOST"/>
        <w:jc w:val="center"/>
      </w:pPr>
      <w:r>
        <w:rPr>
          <w:rFonts w:ascii="Times New Roman" w:hAnsi="Times New Roman" w:eastAsia="Times New Roman"/>
          <w:sz w:val="24"/>
        </w:rPr>
        <w:t>Департамент цифровых платформ и тарификации</w:t>
      </w:r>
    </w:p>
    <w:p>
      <w:pPr>
        <w:pStyle w:val="BodyGOST"/>
      </w:pPr>
    </w:p>
    <w:p>
      <w:pPr>
        <w:pStyle w:val="BodyGOST"/>
        <w:jc w:val="right"/>
      </w:pPr>
      <w:r>
        <w:rPr>
          <w:rFonts w:ascii="Times New Roman" w:hAnsi="Times New Roman" w:eastAsia="Times New Roman"/>
          <w:sz w:val="22"/>
        </w:rPr>
        <w:t>Экз. № 1</w:t>
        <w:br/>
        <w:t>Код документа: КГ-СПE-РЛ-001/2026</w:t>
      </w:r>
    </w:p>
    <w:p>
      <w:pPr>
        <w:pStyle w:val="BodyGOST"/>
      </w:pPr>
    </w:p>
    <w:p>
      <w:pPr>
        <w:pStyle w:val="BodyGOST"/>
      </w:pPr>
    </w:p>
    <w:p>
      <w:pPr>
        <w:pStyle w:val="TitleGOST"/>
        <w:jc w:val="center"/>
      </w:pPr>
      <w:r>
        <w:t>СВЕДЕНИЯ О ВЕРСИИ ПРОДУКТА</w:t>
      </w:r>
    </w:p>
    <w:p>
      <w:pPr>
        <w:pStyle w:val="BodyGOST"/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Документ подготовлен в целях передачи релиза программного продукта «StayPrice Enterprise» на приемочную проверку и последующую эксплуатационную оценку.</w:t>
      </w:r>
    </w:p>
    <w:p>
      <w:pPr>
        <w:pStyle w:val="BodyGOST"/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Настоящие сведения содержат идентификационные признаки релиза, перечень входящих компонентов, сведения о дате подготовки и составе поставки.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Наименование продукта</w:t>
            </w:r>
          </w:p>
        </w:tc>
        <w:tc>
          <w:tcPr>
            <w:tcW w:type="dxa" w:w="510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StayPrice Enterprise</w:t>
            </w:r>
          </w:p>
        </w:tc>
      </w:tr>
      <w:tr>
        <w:tc>
          <w:tcPr>
            <w:tcW w:type="dxa" w:w="396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  <w:tc>
          <w:tcPr>
            <w:tcW w:type="dxa" w:w="510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Расчет стоимости проживания, управление тарифными правилами и проверка документов по релизам</w:t>
            </w:r>
          </w:p>
        </w:tc>
      </w:tr>
      <w:tr>
        <w:tc>
          <w:tcPr>
            <w:tcW w:type="dxa" w:w="396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Версия релиза</w:t>
            </w:r>
          </w:p>
        </w:tc>
        <w:tc>
          <w:tcPr>
            <w:tcW w:type="dxa" w:w="510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3.2.0</w:t>
            </w:r>
          </w:p>
        </w:tc>
      </w:tr>
      <w:tr>
        <w:tc>
          <w:tcPr>
            <w:tcW w:type="dxa" w:w="396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Номер сборки</w:t>
            </w:r>
          </w:p>
        </w:tc>
        <w:tc>
          <w:tcPr>
            <w:tcW w:type="dxa" w:w="510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SPE-3.2.0.5481</w:t>
            </w:r>
          </w:p>
        </w:tc>
      </w:tr>
      <w:tr>
        <w:tc>
          <w:tcPr>
            <w:tcW w:type="dxa" w:w="396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Дата подготовки релиза</w:t>
            </w:r>
          </w:p>
        </w:tc>
        <w:tc>
          <w:tcPr>
            <w:tcW w:type="dxa" w:w="510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14.04.2026</w:t>
            </w:r>
          </w:p>
        </w:tc>
      </w:tr>
      <w:tr>
        <w:tc>
          <w:tcPr>
            <w:tcW w:type="dxa" w:w="396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Среда назначения</w:t>
            </w:r>
          </w:p>
        </w:tc>
        <w:tc>
          <w:tcPr>
            <w:tcW w:type="dxa" w:w="510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Linux / Kubernetes, PostgreSQL 15</w:t>
            </w:r>
          </w:p>
        </w:tc>
      </w:tr>
      <w:tr>
        <w:tc>
          <w:tcPr>
            <w:tcW w:type="dxa" w:w="396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Основание выпуска</w:t>
            </w:r>
          </w:p>
        </w:tc>
        <w:tc>
          <w:tcPr>
            <w:tcW w:type="dxa" w:w="510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План релизов ДЦПТ на II квартал 2026 г.</w:t>
            </w:r>
          </w:p>
        </w:tc>
      </w:tr>
      <w:tr>
        <w:tc>
          <w:tcPr>
            <w:tcW w:type="dxa" w:w="396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Класс документа</w:t>
            </w:r>
          </w:p>
        </w:tc>
        <w:tc>
          <w:tcPr>
            <w:tcW w:type="dxa" w:w="510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Сопроводительный документ к пакету приемочной проверки</w:t>
            </w:r>
          </w:p>
        </w:tc>
      </w:tr>
      <w:tr>
        <w:tc>
          <w:tcPr>
            <w:tcW w:type="dxa" w:w="396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Статус релиза</w:t>
            </w:r>
          </w:p>
        </w:tc>
        <w:tc>
          <w:tcPr>
            <w:tcW w:type="dxa" w:w="510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Передан на приемочную проверку</w:t>
            </w:r>
          </w:p>
        </w:tc>
      </w:tr>
    </w:tbl>
    <w:p>
      <w:pPr>
        <w:pStyle w:val="BodyGOST"/>
      </w:pPr>
    </w:p>
    <w:p>
      <w:pPr>
        <w:pStyle w:val="BodyGOST"/>
        <w:spacing w:after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4"/>
        </w:rPr>
        <w:t>Состав релиза: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№ п/п</w:t>
            </w:r>
          </w:p>
        </w:tc>
        <w:tc>
          <w:tcPr>
            <w:tcW w:type="dxa" w:w="242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Компонент</w:t>
            </w:r>
          </w:p>
        </w:tc>
        <w:tc>
          <w:tcPr>
            <w:tcW w:type="dxa" w:w="242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Версия</w:t>
            </w:r>
          </w:p>
        </w:tc>
        <w:tc>
          <w:tcPr>
            <w:tcW w:type="dxa" w:w="242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Примечание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API расчета тарифов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3.2.0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Основной сервис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Web-интерфейс оператора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3.2.0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Панель управления тарифами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Модуль правил проживания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3.2.0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Правила скидок, доплат и ограничений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Миграции БД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3.2.0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Применяются автоматически при развертывании</w:t>
            </w:r>
          </w:p>
        </w:tc>
      </w:tr>
    </w:tbl>
    <w:p>
      <w:pPr>
        <w:pStyle w:val="BodyGOST"/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Комплект поставки включает исполняемые контейнерные образы, комплект миграций базы данных, описание конфигурационных параметров, журнал изменений и настоящий документ.</w:t>
      </w:r>
    </w:p>
    <w:p>
      <w:pPr>
        <w:pStyle w:val="BodyGOST"/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Отклонений по идентификационным признакам релиза не выявлено. Сведения проверены ответственным за выпуск и соответствуют фактическому содержимому релизного пакета.</w:t>
      </w:r>
    </w:p>
    <w:p>
      <w:pPr>
        <w:pStyle w:val="BodyGOS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69"/>
        <w:gridCol w:w="2268"/>
        <w:gridCol w:w="3402"/>
      </w:tblGrid>
      <w:tr>
        <w:tc>
          <w:tcPr>
            <w:tcW w:type="dxa" w:w="323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Руководитель направления релизов</w:t>
            </w:r>
          </w:p>
        </w:tc>
        <w:tc>
          <w:tcPr>
            <w:tcW w:type="dxa" w:w="323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______________</w:t>
            </w:r>
          </w:p>
        </w:tc>
        <w:tc>
          <w:tcPr>
            <w:tcW w:type="dxa" w:w="323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И.А. Чернов</w:t>
            </w:r>
          </w:p>
        </w:tc>
      </w:tr>
      <w:tr>
        <w:tc>
          <w:tcPr>
            <w:tcW w:type="dxa" w:w="323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Начальник отдела качества</w:t>
            </w:r>
          </w:p>
        </w:tc>
        <w:tc>
          <w:tcPr>
            <w:tcW w:type="dxa" w:w="323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______________</w:t>
            </w:r>
          </w:p>
        </w:tc>
        <w:tc>
          <w:tcPr>
            <w:tcW w:type="dxa" w:w="323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О.В. Стрельцова</w:t>
            </w:r>
          </w:p>
        </w:tc>
      </w:tr>
    </w:tbl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188000" cy="11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m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000" cy="118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0"/>
      </w:rPr>
      <w:t>АО «Контур Гостеприимства»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GOST">
    <w:name w:val="BodyGOST"/>
    <w:rPr>
      <w:rFonts w:ascii="Times New Roman" w:hAnsi="Times New Roman" w:eastAsia="Times New Roman"/>
      <w:sz w:val="24"/>
    </w:rPr>
  </w:style>
  <w:style w:type="paragraph" w:customStyle="1" w:styleId="TitleGOST">
    <w:name w:val="TitleGOST"/>
    <w:rPr>
      <w:rFonts w:ascii="Times New Roman" w:hAnsi="Times New Roman" w:eastAsia="Times New Roman"/>
      <w:b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