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844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/>
        </w:tc>
        <w:tc>
          <w:tcPr>
            <w:tcW w:type="dxa" w:w="4844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УТВЕРЖДАЮ</w:t>
              <w:br/>
              <w:t>Заместитель генерального директора по ИТ</w:t>
              <w:br/>
              <w:t>Серов А.В.</w:t>
            </w:r>
          </w:p>
        </w:tc>
      </w:tr>
      <w:tr>
        <w:tc>
          <w:tcPr>
            <w:tcW w:type="dxa" w:w="4844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/>
        </w:tc>
        <w:tc>
          <w:tcPr>
            <w:tcW w:type="dxa" w:w="4844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jc w:val="left"/>
            </w:pPr>
            <w:r>
              <w:t>«___» __________ 2025 г.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АО «СЕВЕРФИНТЕХ»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Управление платформ корпоративного бюджетирования</w:t>
      </w:r>
    </w:p>
    <w:p/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СПЕЦИФИКАЦИЯ ТРЕБОВАНИЙ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к приложению BudgetFlow Enterprise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Код документа: СФТ-BFE-СТ-231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Версия: 1.0</w:t>
      </w:r>
    </w:p>
    <w:p/>
    <w:p/>
    <w:p/>
    <w:p/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118"/>
        <w:gridCol w:w="3118"/>
      </w:tblGrid>
      <w:tr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Подготовил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Согласовал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Контрольный экземпляр</w:t>
            </w:r>
          </w:p>
        </w:tc>
      </w:tr>
      <w:tr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Системный аналитик Романова Н.К.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Руководитель разработки Яковлев Д.Н.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Экз. № 1</w:t>
            </w:r>
          </w:p>
        </w:tc>
      </w:tr>
      <w:tr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t>_____________/Е.С. Климова/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t>_____________/Д.Н. Яковлев/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t>Хранить 3 года</w:t>
            </w:r>
          </w:p>
        </w:tc>
      </w:tr>
    </w:tbl>
    <w:p/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008000" cy="10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Москва, 2025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1 Область применения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Настоящая спецификация требований устанавливает состав и содержание требований к приложению BudgetFlow Enterprise, предназначенному для расчета, распределения и консолидации бюджетов группы компаний. Документ используется при разработке, тестировании и приемке релиза 2.3.1.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2 Нормативные ссылки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При подготовке документа использованы положения ГОСТ 7.0.97-2016, ГОСТ 19.201-78, внутреннего стандарта СФТ-STD-14 «Управление требованиями и изменениями» и регламента РГ-22 «Бюджетный цикл холдинга».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3 Термины и сокращения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84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Термин</w:t>
            </w:r>
          </w:p>
        </w:tc>
        <w:tc>
          <w:tcPr>
            <w:tcW w:type="dxa" w:w="484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Определение</w:t>
            </w:r>
          </w:p>
        </w:tc>
      </w:tr>
      <w:tr>
        <w:tc>
          <w:tcPr>
            <w:tcW w:type="dxa" w:w="2835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Бюджетный лимит</w:t>
            </w:r>
          </w:p>
        </w:tc>
        <w:tc>
          <w:tcPr>
            <w:tcW w:type="dxa" w:w="6803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Максимально допустимая сумма расходов по центру финансовой ответственности на период планирования.</w:t>
            </w:r>
          </w:p>
        </w:tc>
      </w:tr>
      <w:tr>
        <w:tc>
          <w:tcPr>
            <w:tcW w:type="dxa" w:w="2835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ЦФО</w:t>
            </w:r>
          </w:p>
        </w:tc>
        <w:tc>
          <w:tcPr>
            <w:tcW w:type="dxa" w:w="6803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Центр финансовой ответственности.</w:t>
            </w:r>
          </w:p>
        </w:tc>
      </w:tr>
      <w:tr>
        <w:tc>
          <w:tcPr>
            <w:tcW w:type="dxa" w:w="2835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Консолидация</w:t>
            </w:r>
          </w:p>
        </w:tc>
        <w:tc>
          <w:tcPr>
            <w:tcW w:type="dxa" w:w="6803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Объединение бюджетов дочерних обществ в единый сводный бюджет с учетом межфирменных оборотов.</w:t>
            </w:r>
          </w:p>
        </w:tc>
      </w:tr>
      <w:tr>
        <w:tc>
          <w:tcPr>
            <w:tcW w:type="dxa" w:w="2835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Правило распределения</w:t>
            </w:r>
          </w:p>
        </w:tc>
        <w:tc>
          <w:tcPr>
            <w:tcW w:type="dxa" w:w="6803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Формализованное условие перераспределения суммы по статьям, периодам или ЦФО.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4 Общие требования к системе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Система должна обеспечивать ведение справочников ЦФО, бюджетных статей, сценариев и правил консолидации.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Система должна поддерживать планирование бюджета по месяцам финансового года с возможностью пересчета квартальных и годовых итогов.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При изменении входных параметров перерасчет распределения выполняется автоматически не позднее 5 секунд для пакета до 10 000 строк.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Система должна фиксировать дату, пользователя и основание изменения каждой бюджетной записи в журнале аудита.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5 Функциональные требования</w:t>
      </w:r>
    </w:p>
    <w:p>
      <w:pPr>
        <w:pStyle w:val="Heading2"/>
      </w:pPr>
      <w:r>
        <w:rPr>
          <w:rFonts w:ascii="Times New Roman" w:hAnsi="Times New Roman" w:eastAsia="Times New Roman"/>
          <w:b w:val="0"/>
          <w:i w:val="0"/>
          <w:u w:val="none"/>
        </w:rPr>
        <w:t>5.1 Расчет распределения бюджета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Пользователь выбирает сценарий распределения, период, организацию и набор статей затрат.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Алгоритм распределяет сумму исходного бюджета по дочерним обществам согласно заданным долям, коэффициентам сезонности и ограничениям по лимитам.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Если итог по целевой статье превышает лимит, система должна выполнять корректировку с переносом остатка на резервную статью, указанную в правиле.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Результат расчета должен сопровождаться протоколом вычислений, включающим примененные коэффициенты и источник исходных данных.</w:t>
      </w:r>
    </w:p>
    <w:p>
      <w:pPr>
        <w:pStyle w:val="Heading2"/>
      </w:pPr>
      <w:r>
        <w:rPr>
          <w:rFonts w:ascii="Times New Roman" w:hAnsi="Times New Roman" w:eastAsia="Times New Roman"/>
          <w:b w:val="0"/>
          <w:i w:val="0"/>
          <w:u w:val="none"/>
        </w:rPr>
        <w:t>5.2 Консолидация бюджета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154"/>
        <w:gridCol w:w="5216"/>
        <w:gridCol w:w="1247"/>
      </w:tblGrid>
      <w:tr>
        <w:tc>
          <w:tcPr>
            <w:tcW w:type="dxa" w:w="242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ID</w:t>
            </w:r>
          </w:p>
        </w:tc>
        <w:tc>
          <w:tcPr>
            <w:tcW w:type="dxa" w:w="242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Требование</w:t>
            </w:r>
          </w:p>
        </w:tc>
        <w:tc>
          <w:tcPr>
            <w:tcW w:type="dxa" w:w="242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Описание</w:t>
            </w:r>
          </w:p>
        </w:tc>
        <w:tc>
          <w:tcPr>
            <w:tcW w:type="dxa" w:w="242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Приоритет</w:t>
            </w:r>
          </w:p>
        </w:tc>
      </w:tr>
      <w:tr>
        <w:tc>
          <w:tcPr>
            <w:tcW w:type="dxa" w:w="10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FR-01</w:t>
            </w:r>
          </w:p>
        </w:tc>
        <w:tc>
          <w:tcPr>
            <w:tcW w:type="dxa" w:w="215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Исключение внутригрупповых оборотов</w:t>
            </w:r>
          </w:p>
        </w:tc>
        <w:tc>
          <w:tcPr>
            <w:tcW w:type="dxa" w:w="521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При консолидации система должна исключать зеркальные операции между компаниями группы по совпадающим аналитикам контрагента, статье и периоду.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Высокий</w:t>
            </w:r>
          </w:p>
        </w:tc>
      </w:tr>
      <w:tr>
        <w:tc>
          <w:tcPr>
            <w:tcW w:type="dxa" w:w="10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FR-02</w:t>
            </w:r>
          </w:p>
        </w:tc>
        <w:tc>
          <w:tcPr>
            <w:tcW w:type="dxa" w:w="215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Пересчет валют</w:t>
            </w:r>
          </w:p>
        </w:tc>
        <w:tc>
          <w:tcPr>
            <w:tcW w:type="dxa" w:w="521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Суммы дочерних обществ в валюте учета должны пересчитываться в валюту консолидации по утвержденному курсу периода.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Высокий</w:t>
            </w:r>
          </w:p>
        </w:tc>
      </w:tr>
      <w:tr>
        <w:tc>
          <w:tcPr>
            <w:tcW w:type="dxa" w:w="10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FR-03</w:t>
            </w:r>
          </w:p>
        </w:tc>
        <w:tc>
          <w:tcPr>
            <w:tcW w:type="dxa" w:w="215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Контроль баланса</w:t>
            </w:r>
          </w:p>
        </w:tc>
        <w:tc>
          <w:tcPr>
            <w:tcW w:type="dxa" w:w="521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После консолидации активы и обязательства, а также доходы и расходы должны проверяться на баланс с точностью до 0,01 единицы валюты.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Высокий</w:t>
            </w:r>
          </w:p>
        </w:tc>
      </w:tr>
      <w:tr>
        <w:tc>
          <w:tcPr>
            <w:tcW w:type="dxa" w:w="10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FR-04</w:t>
            </w:r>
          </w:p>
        </w:tc>
        <w:tc>
          <w:tcPr>
            <w:tcW w:type="dxa" w:w="215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Разделение ролей</w:t>
            </w:r>
          </w:p>
        </w:tc>
        <w:tc>
          <w:tcPr>
            <w:tcW w:type="dxa" w:w="521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Утверждение сводного бюджета должно быть доступно только пользователям с ролью «Финансовый контролер» или выше.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Средний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6 Бизнес-правила расчета</w:t>
      </w:r>
    </w:p>
    <w:p>
      <w:pPr>
        <w:pStyle w:val="Heading2"/>
      </w:pPr>
      <w:r>
        <w:rPr>
          <w:rFonts w:ascii="Times New Roman" w:hAnsi="Times New Roman" w:eastAsia="Times New Roman"/>
          <w:b w:val="0"/>
          <w:i w:val="0"/>
          <w:u w:val="none"/>
        </w:rPr>
        <w:t>6.1 Базовая формула распределения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Сумма по дочернему обществу определяется как произведение исходной суммы на долю распределения и коэффициент периода. Результат округляется до двух знаков после запятой по арифметическому правилу.</w:t>
      </w:r>
    </w:p>
    <w:p>
      <w:pPr>
        <w:pStyle w:val="Heading2"/>
      </w:pPr>
      <w:r>
        <w:rPr>
          <w:rFonts w:ascii="Times New Roman" w:hAnsi="Times New Roman" w:eastAsia="Times New Roman"/>
          <w:b w:val="0"/>
          <w:i w:val="0"/>
          <w:u w:val="none"/>
        </w:rPr>
        <w:t>6.2 Правила консолидации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Сводная сумма по статье равна сумме значений по всем компаниям группы за вычетом внутригрупповых оборотов.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В случае отсутствия курса валюты на дату консолидации используется последний утвержденный курс не старше 5 рабочих дней.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Если в дочернем обществе отсутствует обязательная аналитика, запись включается в отчет об ошибках и не участвует в утверждаемой версии свода.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7 Нефункциональные требования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Доступность сервиса в рабочее время финансового закрытия должна составлять не ниже 99,5 %.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Интерфейс должен поддерживать одновременную работу не менее 300 пользователей без деградации времени отклика более 20 %.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Журнал аудита и результаты консолидации должны храниться не менее 5 лет.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8 Критерии приемки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484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Критерий</w:t>
            </w:r>
          </w:p>
        </w:tc>
        <w:tc>
          <w:tcPr>
            <w:tcW w:type="dxa" w:w="484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Метод подтверждения</w:t>
            </w:r>
          </w:p>
        </w:tc>
      </w:tr>
      <w:tr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Корректность распределения</w:t>
            </w:r>
          </w:p>
        </w:tc>
        <w:tc>
          <w:tcPr>
            <w:tcW w:type="dxa" w:w="65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Положительный результат автоматизированных тестов и контрольного пересчета на эталонном наборе данных.</w:t>
            </w:r>
          </w:p>
        </w:tc>
      </w:tr>
      <w:tr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Корректность консолидации</w:t>
            </w:r>
          </w:p>
        </w:tc>
        <w:tc>
          <w:tcPr>
            <w:tcW w:type="dxa" w:w="65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Сопоставление итогов со сводным шаблоном финансового департамента и отсутствие критических отклонений.</w:t>
            </w:r>
          </w:p>
        </w:tc>
      </w:tr>
      <w:tr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Полнота журналирования</w:t>
            </w:r>
          </w:p>
        </w:tc>
        <w:tc>
          <w:tcPr>
            <w:tcW w:type="dxa" w:w="65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Проверка записи событий создания, изменения, согласования и утверждения бюджета.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Лист регистрации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587"/>
        <w:gridCol w:w="4082"/>
        <w:gridCol w:w="1984"/>
        <w:gridCol w:w="1417"/>
      </w:tblGrid>
      <w:tr>
        <w:tc>
          <w:tcPr>
            <w:tcW w:type="dxa" w:w="1938"/>
            <w:tcMar>
              <w:top w:w="50" w:type="dxa"/>
              <w:start w:w="90" w:type="dxa"/>
              <w:bottom w:w="5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Версия</w:t>
            </w:r>
          </w:p>
        </w:tc>
        <w:tc>
          <w:tcPr>
            <w:tcW w:type="dxa" w:w="1938"/>
            <w:tcMar>
              <w:top w:w="50" w:type="dxa"/>
              <w:start w:w="90" w:type="dxa"/>
              <w:bottom w:w="5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Дата</w:t>
            </w:r>
          </w:p>
        </w:tc>
        <w:tc>
          <w:tcPr>
            <w:tcW w:type="dxa" w:w="1938"/>
            <w:tcMar>
              <w:top w:w="50" w:type="dxa"/>
              <w:start w:w="90" w:type="dxa"/>
              <w:bottom w:w="5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Основание изменения</w:t>
            </w:r>
          </w:p>
        </w:tc>
        <w:tc>
          <w:tcPr>
            <w:tcW w:type="dxa" w:w="1938"/>
            <w:tcMar>
              <w:top w:w="50" w:type="dxa"/>
              <w:start w:w="90" w:type="dxa"/>
              <w:bottom w:w="5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Автор</w:t>
            </w:r>
          </w:p>
        </w:tc>
        <w:tc>
          <w:tcPr>
            <w:tcW w:type="dxa" w:w="1938"/>
            <w:tcMar>
              <w:top w:w="50" w:type="dxa"/>
              <w:start w:w="90" w:type="dxa"/>
              <w:bottom w:w="5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1134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1.0</w:t>
            </w:r>
          </w:p>
        </w:tc>
        <w:tc>
          <w:tcPr>
            <w:tcW w:type="dxa" w:w="1587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18.07.2025</w:t>
            </w:r>
          </w:p>
        </w:tc>
        <w:tc>
          <w:tcPr>
            <w:tcW w:type="dxa" w:w="4082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Первичная редакция документа</w:t>
            </w:r>
          </w:p>
        </w:tc>
        <w:tc>
          <w:tcPr>
            <w:tcW w:type="dxa" w:w="1984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Романова Н.К.</w:t>
            </w:r>
          </w:p>
        </w:tc>
        <w:tc>
          <w:tcPr>
            <w:tcW w:type="dxa" w:w="1417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Утверждено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Разработал</w:t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Согласовал</w:t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</w:tr>
      <w:tr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_____________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2036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036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Е.С. Климова</w:t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_____________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20365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036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Д.Н. Яковлев</w:t>
            </w:r>
          </w:p>
        </w:tc>
      </w:tr>
      <w:tr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18.07.2025</w:t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18.07.2025</w:t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18"/>
      <w:gridCol w:w="3402"/>
      <w:gridCol w:w="3118"/>
    </w:tblGrid>
    <w:tr>
      <w:tc>
        <w:tcPr>
          <w:tcW w:type="dxa" w:w="3118"/>
          <w:vAlign w:val="center"/>
          <w:tcMar>
            <w:top w:w="30" w:type="dxa"/>
            <w:start w:w="70" w:type="dxa"/>
            <w:bottom w:w="30" w:type="dxa"/>
            <w:end w:w="70" w:type="dxa"/>
          </w:tcMar>
        </w:tcPr>
        <w:p>
          <w:pPr>
            <w:jc w:val="center"/>
          </w:pPr>
          <w:r>
            <w:rPr>
              <w:rFonts w:ascii="Times New Roman" w:hAnsi="Times New Roman" w:eastAsia="Times New Roman"/>
              <w:sz w:val="18"/>
            </w:rPr>
            <w:t>СФТ-BFE-СТ-231</w:t>
          </w:r>
        </w:p>
      </w:tc>
      <w:tc>
        <w:tcPr>
          <w:tcW w:type="dxa" w:w="3402"/>
          <w:vAlign w:val="center"/>
          <w:tcMar>
            <w:top w:w="30" w:type="dxa"/>
            <w:start w:w="70" w:type="dxa"/>
            <w:bottom w:w="30" w:type="dxa"/>
            <w:end w:w="70" w:type="dxa"/>
          </w:tcMar>
        </w:tcPr>
        <w:p>
          <w:pPr>
            <w:jc w:val="center"/>
          </w:pPr>
          <w:r>
            <w:rPr>
              <w:rFonts w:ascii="Times New Roman" w:hAnsi="Times New Roman" w:eastAsia="Times New Roman"/>
              <w:sz w:val="18"/>
            </w:rPr>
            <w:t>Для служебного пользования</w:t>
          </w:r>
        </w:p>
      </w:tc>
      <w:tc>
        <w:tcPr>
          <w:tcW w:type="dxa" w:w="3118"/>
          <w:vAlign w:val="center"/>
          <w:tcMar>
            <w:top w:w="30" w:type="dxa"/>
            <w:start w:w="70" w:type="dxa"/>
            <w:bottom w:w="30" w:type="dxa"/>
            <w:end w:w="70" w:type="dxa"/>
          </w:tcMar>
        </w:tcPr>
        <w:p>
          <w:pPr>
            <w:jc w:val="center"/>
          </w:pPr>
          <w:r>
            <w:rPr>
              <w:rFonts w:ascii="Times New Roman" w:hAnsi="Times New Roman" w:eastAsia="Times New Roman"/>
              <w:sz w:val="18"/>
            </w:rPr>
            <w:t xml:space="preserve">Стр.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sz w:val="18"/>
      </w:rPr>
      <w:t>АО «СеверФинТех»  |  СФТ-BFE-СТ-231  |  Версия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SFT">
    <w:name w:val="Body Text SFT"/>
    <w:basedOn w:val="Normal"/>
    <w:pPr>
      <w:spacing w:line="360" w:lineRule="auto"/>
      <w:ind w:firstLine="709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