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220"/>
      </w:tblGrid>
      <w:tr>
        <w:tc>
          <w:tcPr>
            <w:tcW w:type="dxa" w:w="5102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80000" cy="26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k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D487E"/>
                <w:sz w:val="24"/>
                <w:u w:val="none"/>
              </w:rPr>
              <w:t>ПУБЛИЧНОЕ АКЦИОНЕРНОЕ ОБЩЕСТВО</w:t>
              <w:br/>
              <w:t>«СЕВЕРНЫЙ КОНТУР ТЕХНОЛОГИИ»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4A5568"/>
                <w:sz w:val="18"/>
                <w:u w:val="none"/>
              </w:rPr>
              <w:t>125047, г. Москва, ул. Лесная, д. 7 · +7 (495) 900-41-41 · office@skt.example</w:t>
              <w:br/>
              <w:t>ОГРН 1167700123456 · ИНН 7707123456 · www.skt.example</w:t>
            </w:r>
          </w:p>
        </w:tc>
      </w:tr>
    </w:tbl>
    <w:p>
      <w:pPr>
        <w:spacing w:before="0" w:after="40" w:line="240" w:lineRule="auto"/>
        <w:ind w:firstLine="0"/>
        <w:pBdr>
          <w:bottom w:val="single" w:sz="8" w:space="1" w:color="A5B4C8"/>
        </w:pBdr>
      </w:pPr>
    </w:p>
    <w:p>
      <w:pPr>
        <w:spacing w:before="60" w:after="4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0"/>
          <w:u w:val="none"/>
        </w:rPr>
        <w:t>АКТ ВНУТРЕННЕЙ ПРОВЕРКИ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№ АВП-2026/0414-02 от 14.04.2026 · Москва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Комиссия ПАО «Северный Контур Технологии» провела внутреннюю проверку готовности релиза Платформа электронного документооборота «АрхивПро Enterprise» версии 4.8.2 (сборка AP-4.8.2.3179) к выпуску в промышленную эксплуатацию.</w:t>
      </w:r>
    </w:p>
    <w:p>
      <w:pPr>
        <w:spacing w:before="120" w:after="40" w:line="240" w:lineRule="auto"/>
        <w:ind w:firstLine="0"/>
      </w:pPr>
      <w:r>
        <w:rPr>
          <w:rFonts w:ascii="Times New Roman" w:hAnsi="Times New Roman" w:eastAsia="Times New Roman"/>
          <w:b/>
          <w:i w:val="0"/>
          <w:color w:val="1D487E"/>
          <w:sz w:val="24"/>
          <w:u w:val="none"/>
        </w:rPr>
        <w:t>Проверенные критерии готовности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665"/>
        <w:gridCol w:w="1361"/>
        <w:gridCol w:w="5499"/>
      </w:tblGrid>
      <w:tr>
        <w:trPr>
          <w:tblHeader w:val="true"/>
        </w:trPr>
        <w:tc>
          <w:tcPr>
            <w:tcW w:type="dxa" w:w="2551"/>
            <w:shd w:fill="EAF0F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№</w:t>
            </w:r>
          </w:p>
        </w:tc>
        <w:tc>
          <w:tcPr>
            <w:tcW w:type="dxa" w:w="2551"/>
            <w:shd w:fill="EAF0F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Критерий</w:t>
            </w:r>
          </w:p>
        </w:tc>
        <w:tc>
          <w:tcPr>
            <w:tcW w:type="dxa" w:w="2551"/>
            <w:shd w:fill="EAF0F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Результат</w:t>
            </w:r>
          </w:p>
        </w:tc>
        <w:tc>
          <w:tcPr>
            <w:tcW w:type="dxa" w:w="2551"/>
            <w:shd w:fill="EAF0F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Примечание</w:t>
            </w:r>
          </w:p>
        </w:tc>
      </w:tr>
      <w:tr>
        <w:tc>
          <w:tcPr>
            <w:tcW w:type="dxa" w:w="45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26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Функциональное тестирование</w:t>
            </w:r>
          </w:p>
        </w:tc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Соответствует</w:t>
            </w:r>
          </w:p>
        </w:tc>
        <w:tc>
          <w:tcPr>
            <w:tcW w:type="dxa" w:w="54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Все обязательные сценарии релизного набора выполнены.</w:t>
            </w:r>
          </w:p>
        </w:tc>
      </w:tr>
      <w:tr>
        <w:tc>
          <w:tcPr>
            <w:tcW w:type="dxa" w:w="45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2</w:t>
            </w:r>
          </w:p>
        </w:tc>
        <w:tc>
          <w:tcPr>
            <w:tcW w:type="dxa" w:w="26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Регрессионное тестирование</w:t>
            </w:r>
          </w:p>
        </w:tc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Соответствует</w:t>
            </w:r>
          </w:p>
        </w:tc>
        <w:tc>
          <w:tcPr>
            <w:tcW w:type="dxa" w:w="54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Покрыт контур документооборота, согласования, архива и отчётности.</w:t>
            </w:r>
          </w:p>
        </w:tc>
      </w:tr>
      <w:tr>
        <w:tc>
          <w:tcPr>
            <w:tcW w:type="dxa" w:w="45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26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Информационная безопасность</w:t>
            </w:r>
          </w:p>
        </w:tc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Соответствует</w:t>
            </w:r>
          </w:p>
        </w:tc>
        <w:tc>
          <w:tcPr>
            <w:tcW w:type="dxa" w:w="54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Проверены роли, журналирование, разграничение доступа и защита API.</w:t>
            </w:r>
          </w:p>
        </w:tc>
      </w:tr>
      <w:tr>
        <w:tc>
          <w:tcPr>
            <w:tcW w:type="dxa" w:w="45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4</w:t>
            </w:r>
          </w:p>
        </w:tc>
        <w:tc>
          <w:tcPr>
            <w:tcW w:type="dxa" w:w="26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Производительность</w:t>
            </w:r>
          </w:p>
        </w:tc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Соответствует</w:t>
            </w:r>
          </w:p>
        </w:tc>
        <w:tc>
          <w:tcPr>
            <w:tcW w:type="dxa" w:w="54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Нагрузка 1 200 одновременных пользователей пройдена в пределах SLA.</w:t>
            </w:r>
          </w:p>
        </w:tc>
      </w:tr>
      <w:tr>
        <w:tc>
          <w:tcPr>
            <w:tcW w:type="dxa" w:w="45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5</w:t>
            </w:r>
          </w:p>
        </w:tc>
        <w:tc>
          <w:tcPr>
            <w:tcW w:type="dxa" w:w="26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Миграция и установка</w:t>
            </w:r>
          </w:p>
        </w:tc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Соответствует</w:t>
            </w:r>
          </w:p>
        </w:tc>
        <w:tc>
          <w:tcPr>
            <w:tcW w:type="dxa" w:w="54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Скрипты обновления БД и пакет развёртывания отработали штатно.</w:t>
            </w:r>
          </w:p>
        </w:tc>
      </w:tr>
      <w:tr>
        <w:tc>
          <w:tcPr>
            <w:tcW w:type="dxa" w:w="45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6</w:t>
            </w:r>
          </w:p>
        </w:tc>
        <w:tc>
          <w:tcPr>
            <w:tcW w:type="dxa" w:w="26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Документация</w:t>
            </w:r>
          </w:p>
        </w:tc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Соответствует</w:t>
            </w:r>
          </w:p>
        </w:tc>
        <w:tc>
          <w:tcPr>
            <w:tcW w:type="dxa" w:w="54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Руководство администратора и описание релиза включены в поставку.</w:t>
            </w:r>
          </w:p>
        </w:tc>
      </w:tr>
    </w:tbl>
    <w:p>
      <w:pPr>
        <w:spacing w:before="120" w:after="40" w:line="240" w:lineRule="auto"/>
        <w:ind w:firstLine="0"/>
      </w:pPr>
      <w:r>
        <w:rPr>
          <w:rFonts w:ascii="Times New Roman" w:hAnsi="Times New Roman" w:eastAsia="Times New Roman"/>
          <w:b/>
          <w:i w:val="0"/>
          <w:color w:val="1D487E"/>
          <w:sz w:val="24"/>
          <w:u w:val="none"/>
        </w:rPr>
        <w:t>Вывод комиссии</w:t>
      </w:r>
    </w:p>
    <w:p>
      <w:pPr>
        <w:spacing w:before="0" w:after="0" w:line="235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Комиссия установила, что версия 4.8.2 продукта Платформа электронного документооборота «АрхивПро Enterprise» соответствует внутренним критериям готовности к выпуску. Замечаний, препятствующих выпуску релиза, не имеется. Рекомендуется передать релиз в промышленный контур и открыть окно внедрения с 18.04.2026.</w:t>
      </w:r>
    </w:p>
    <w:p>
      <w:pPr>
        <w:spacing w:before="40" w:after="0" w:line="228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18"/>
          <w:u w:val="none"/>
        </w:rPr>
        <w:t>Основание: протокол испытаний QA-2026/04-118, PERF-2026/04-19, лист комплектации RC-2026/04-07.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154"/>
        <w:gridCol w:w="4082"/>
      </w:tblGrid>
      <w:tr>
        <w:tc>
          <w:tcPr>
            <w:tcW w:type="dxa" w:w="3402"/>
            <w:vAlign w:val="center"/>
            <w:tcMar>
              <w:top w:w="20" w:type="dxa"/>
              <w:start w:w="40" w:type="dxa"/>
              <w:bottom w:w="2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Председатель комиссии,</w:t>
              <w:br/>
              <w:t>директор по качеству</w:t>
            </w:r>
          </w:p>
        </w:tc>
        <w:tc>
          <w:tcPr>
            <w:tcW w:type="dxa" w:w="3402"/>
            <w:vAlign w:val="center"/>
            <w:tcMar>
              <w:top w:w="20" w:type="dxa"/>
              <w:start w:w="40" w:type="dxa"/>
              <w:bottom w:w="2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28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3004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morozov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300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  <w:tcMar>
              <w:top w:w="20" w:type="dxa"/>
              <w:start w:w="40" w:type="dxa"/>
              <w:bottom w:w="2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И.П. Морозова</w:t>
            </w:r>
          </w:p>
          <w:p>
            <w:pPr>
              <w:spacing w:before="0" w:after="0" w:line="228" w:lineRule="auto"/>
              <w:ind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_sk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vAlign w:val="center"/>
            <w:tcMar>
              <w:top w:w="20" w:type="dxa"/>
              <w:start w:w="40" w:type="dxa"/>
              <w:bottom w:w="2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Член комиссии,</w:t>
              <w:br/>
              <w:t>руководитель отдела тестирования</w:t>
            </w:r>
          </w:p>
        </w:tc>
        <w:tc>
          <w:tcPr>
            <w:tcW w:type="dxa" w:w="3402"/>
            <w:vAlign w:val="center"/>
            <w:tcMar>
              <w:top w:w="20" w:type="dxa"/>
              <w:start w:w="40" w:type="dxa"/>
              <w:bottom w:w="2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28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3004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kuznetsov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300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  <w:tcMar>
              <w:top w:w="20" w:type="dxa"/>
              <w:start w:w="40" w:type="dxa"/>
              <w:bottom w:w="2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Д.О. Кузнецов</w:t>
            </w:r>
          </w:p>
        </w:tc>
      </w:tr>
      <w:tr>
        <w:tc>
          <w:tcPr>
            <w:tcW w:type="dxa" w:w="3402"/>
            <w:vAlign w:val="center"/>
            <w:tcMar>
              <w:top w:w="20" w:type="dxa"/>
              <w:start w:w="40" w:type="dxa"/>
              <w:bottom w:w="2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Член комиссии,</w:t>
              <w:br/>
              <w:t>технический директор</w:t>
            </w:r>
          </w:p>
        </w:tc>
        <w:tc>
          <w:tcPr>
            <w:tcW w:type="dxa" w:w="3402"/>
            <w:vAlign w:val="center"/>
            <w:tcMar>
              <w:top w:w="20" w:type="dxa"/>
              <w:start w:w="40" w:type="dxa"/>
              <w:bottom w:w="2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28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30046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lebedev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300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  <w:tcMar>
              <w:top w:w="20" w:type="dxa"/>
              <w:start w:w="40" w:type="dxa"/>
              <w:bottom w:w="2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28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А.С. Лебедев</w:t>
            </w:r>
          </w:p>
        </w:tc>
      </w:tr>
    </w:tbl>
    <w:sectPr w:rsidR="00FC693F" w:rsidRPr="0006063C" w:rsidSect="00034616">
      <w:pgSz w:w="11906" w:h="16838"/>
      <w:pgMar w:top="1134" w:right="567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  <w:ind w:firstLine="709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