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844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/>
        </w:tc>
        <w:tc>
          <w:tcPr>
            <w:tcW w:type="dxa" w:w="4844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УТВЕРЖДАЮ</w:t>
              <w:br/>
              <w:t>Директор департамента качества</w:t>
              <w:br/>
              <w:t>Пестова И.В.</w:t>
            </w:r>
          </w:p>
        </w:tc>
      </w:tr>
      <w:tr>
        <w:tc>
          <w:tcPr>
            <w:tcW w:type="dxa" w:w="4844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/>
        </w:tc>
        <w:tc>
          <w:tcPr>
            <w:tcW w:type="dxa" w:w="4844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jc w:val="left"/>
            </w:pPr>
            <w:r>
              <w:t>«___» __________ 2025 г.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АО «СЕВЕРФИНТЕХ»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Управление платформ корпоративного бюджетирования</w:t>
      </w:r>
    </w:p>
    <w:p/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ОТЧЕТ О ТЕСТИРОВАНИИ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стандартных сценариев распределения бюджета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Код документа: СФТ-BFE-ОТ-231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Версия: 1.0</w:t>
      </w:r>
    </w:p>
    <w:p/>
    <w:p/>
    <w:p/>
    <w:p/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118"/>
        <w:gridCol w:w="3118"/>
      </w:tblGrid>
      <w:tr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Подготовил</w:t>
            </w:r>
          </w:p>
        </w:tc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Согласовал</w:t>
            </w:r>
          </w:p>
        </w:tc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Контрольный экземпляр</w:t>
            </w:r>
          </w:p>
        </w:tc>
      </w:tr>
      <w:tr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Ведущий инженер по тестированию Лазарев М.С.</w:t>
            </w:r>
          </w:p>
        </w:tc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Руководитель разработки Яковлев Д.Н.</w:t>
            </w:r>
          </w:p>
        </w:tc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Экз. № 1</w:t>
            </w:r>
          </w:p>
        </w:tc>
      </w:tr>
      <w:tr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t>_____________/Е.С. Климова/</w:t>
            </w:r>
          </w:p>
        </w:tc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t>_____________/Д.Н. Яковлев/</w:t>
            </w:r>
          </w:p>
        </w:tc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t>Хранить 3 года</w:t>
            </w:r>
          </w:p>
        </w:tc>
      </w:tr>
    </w:tbl>
    <w:p/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008000" cy="10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Москва, 2025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1 Основание проведения испытаний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Испытания выполнены в рамках подготовки релиза 2.3.1 приложения BudgetFlow Enterprise на основании спецификации требований СФТ-BFE-СТ-231 и плана испытаний ПИ-2.3.1/07.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2 Состав испытаний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Проверены стандартные сценарии распределения бюджета по дочерним обществам, корректность применения лимитов, резервных статей, сезонных коэффициентов и последующая консолидация результатов в сводный бюджет.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3 Среда тестирования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c>
          <w:tcPr>
            <w:tcW w:type="dxa" w:w="484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Параметр</w:t>
            </w:r>
          </w:p>
        </w:tc>
        <w:tc>
          <w:tcPr>
            <w:tcW w:type="dxa" w:w="484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311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Стенд</w:t>
            </w:r>
          </w:p>
        </w:tc>
        <w:tc>
          <w:tcPr>
            <w:tcW w:type="dxa" w:w="65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UAT-BFE-07</w:t>
            </w:r>
          </w:p>
        </w:tc>
      </w:tr>
      <w:tr>
        <w:tc>
          <w:tcPr>
            <w:tcW w:type="dxa" w:w="311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Версия приложения</w:t>
            </w:r>
          </w:p>
        </w:tc>
        <w:tc>
          <w:tcPr>
            <w:tcW w:type="dxa" w:w="65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2.3.1-rc4</w:t>
            </w:r>
          </w:p>
        </w:tc>
      </w:tr>
      <w:tr>
        <w:tc>
          <w:tcPr>
            <w:tcW w:type="dxa" w:w="311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СУБД</w:t>
            </w:r>
          </w:p>
        </w:tc>
        <w:tc>
          <w:tcPr>
            <w:tcW w:type="dxa" w:w="65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PostgreSQL 15.4</w:t>
            </w:r>
          </w:p>
        </w:tc>
      </w:tr>
      <w:tr>
        <w:tc>
          <w:tcPr>
            <w:tcW w:type="dxa" w:w="311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Браузер</w:t>
            </w:r>
          </w:p>
        </w:tc>
        <w:tc>
          <w:tcPr>
            <w:tcW w:type="dxa" w:w="65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Google Chrome 126</w:t>
            </w:r>
          </w:p>
        </w:tc>
      </w:tr>
      <w:tr>
        <w:tc>
          <w:tcPr>
            <w:tcW w:type="dxa" w:w="311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Тестовые данные</w:t>
            </w:r>
          </w:p>
        </w:tc>
        <w:tc>
          <w:tcPr>
            <w:tcW w:type="dxa" w:w="65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Набор FIN-UAT-2025Q3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4 Результаты выполнения сценариев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118"/>
        <w:gridCol w:w="4819"/>
        <w:gridCol w:w="1247"/>
      </w:tblGrid>
      <w:tr>
        <w:tc>
          <w:tcPr>
            <w:tcW w:type="dxa" w:w="242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ID</w:t>
            </w:r>
          </w:p>
        </w:tc>
        <w:tc>
          <w:tcPr>
            <w:tcW w:type="dxa" w:w="242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Сценарий</w:t>
            </w:r>
          </w:p>
        </w:tc>
        <w:tc>
          <w:tcPr>
            <w:tcW w:type="dxa" w:w="242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Критерий успеха</w:t>
            </w:r>
          </w:p>
        </w:tc>
        <w:tc>
          <w:tcPr>
            <w:tcW w:type="dxa" w:w="242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Статус</w:t>
            </w:r>
          </w:p>
        </w:tc>
      </w:tr>
      <w:tr>
        <w:tc>
          <w:tcPr>
            <w:tcW w:type="dxa" w:w="10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TS-01</w:t>
            </w:r>
          </w:p>
        </w:tc>
        <w:tc>
          <w:tcPr>
            <w:tcW w:type="dxa" w:w="311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Распределение суммы по долям между 5 обществами</w:t>
            </w:r>
          </w:p>
        </w:tc>
        <w:tc>
          <w:tcPr>
            <w:tcW w:type="dxa" w:w="4819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Итог совпадает с исходной суммой; расхождение отсутствует</w:t>
            </w:r>
          </w:p>
        </w:tc>
        <w:tc>
          <w:tcPr>
            <w:tcW w:type="dxa" w:w="124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Пройден</w:t>
            </w:r>
          </w:p>
        </w:tc>
      </w:tr>
      <w:tr>
        <w:tc>
          <w:tcPr>
            <w:tcW w:type="dxa" w:w="10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TS-02</w:t>
            </w:r>
          </w:p>
        </w:tc>
        <w:tc>
          <w:tcPr>
            <w:tcW w:type="dxa" w:w="311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Срабатывание лимита по статье и перенос остатка</w:t>
            </w:r>
          </w:p>
        </w:tc>
        <w:tc>
          <w:tcPr>
            <w:tcW w:type="dxa" w:w="4819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Сверхлимитная сумма перенесена на резервную статью</w:t>
            </w:r>
          </w:p>
        </w:tc>
        <w:tc>
          <w:tcPr>
            <w:tcW w:type="dxa" w:w="124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Пройден</w:t>
            </w:r>
          </w:p>
        </w:tc>
      </w:tr>
      <w:tr>
        <w:tc>
          <w:tcPr>
            <w:tcW w:type="dxa" w:w="10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TS-03</w:t>
            </w:r>
          </w:p>
        </w:tc>
        <w:tc>
          <w:tcPr>
            <w:tcW w:type="dxa" w:w="311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Применение коэффициента сезонности</w:t>
            </w:r>
          </w:p>
        </w:tc>
        <w:tc>
          <w:tcPr>
            <w:tcW w:type="dxa" w:w="4819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Помесячный профиль соответствует коэффициентам периода</w:t>
            </w:r>
          </w:p>
        </w:tc>
        <w:tc>
          <w:tcPr>
            <w:tcW w:type="dxa" w:w="124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Пройден</w:t>
            </w:r>
          </w:p>
        </w:tc>
      </w:tr>
      <w:tr>
        <w:tc>
          <w:tcPr>
            <w:tcW w:type="dxa" w:w="10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TS-04</w:t>
            </w:r>
          </w:p>
        </w:tc>
        <w:tc>
          <w:tcPr>
            <w:tcW w:type="dxa" w:w="311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Консолидация с исключением внутригрупповых оборотов</w:t>
            </w:r>
          </w:p>
        </w:tc>
        <w:tc>
          <w:tcPr>
            <w:tcW w:type="dxa" w:w="4819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Внутригрупповые обороты исключены; свод подтвержден</w:t>
            </w:r>
          </w:p>
        </w:tc>
        <w:tc>
          <w:tcPr>
            <w:tcW w:type="dxa" w:w="124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Пройден</w:t>
            </w:r>
          </w:p>
        </w:tc>
      </w:tr>
      <w:tr>
        <w:tc>
          <w:tcPr>
            <w:tcW w:type="dxa" w:w="10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TS-05</w:t>
            </w:r>
          </w:p>
        </w:tc>
        <w:tc>
          <w:tcPr>
            <w:tcW w:type="dxa" w:w="311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Отказ в утверждении при отсутствии обязательной аналитики</w:t>
            </w:r>
          </w:p>
        </w:tc>
        <w:tc>
          <w:tcPr>
            <w:tcW w:type="dxa" w:w="4819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Утверждение заблокировано; сообщение об ошибке выведено</w:t>
            </w:r>
          </w:p>
        </w:tc>
        <w:tc>
          <w:tcPr>
            <w:tcW w:type="dxa" w:w="124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Пройден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5 Выявленные замечания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По результатам испытаний критических дефектов не выявлено. Замечания класса Minor оформлены в журнале дефектов СФТ-BFE-ЖД-231 и не препятствуют выпуску релиза.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6 Заключение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Стандартные сценарии распределения бюджета и консолидации выполнены успешно. Релиз 2.3.1 может быть рекомендован к опытной эксплуатации при условии устранения замечаний, не влияющих на корректность расчетов.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Лист регистрации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587"/>
        <w:gridCol w:w="4082"/>
        <w:gridCol w:w="1984"/>
        <w:gridCol w:w="1417"/>
      </w:tblGrid>
      <w:tr>
        <w:tc>
          <w:tcPr>
            <w:tcW w:type="dxa" w:w="1938"/>
            <w:tcMar>
              <w:top w:w="50" w:type="dxa"/>
              <w:start w:w="90" w:type="dxa"/>
              <w:bottom w:w="5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Версия</w:t>
            </w:r>
          </w:p>
        </w:tc>
        <w:tc>
          <w:tcPr>
            <w:tcW w:type="dxa" w:w="1938"/>
            <w:tcMar>
              <w:top w:w="50" w:type="dxa"/>
              <w:start w:w="90" w:type="dxa"/>
              <w:bottom w:w="5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Дата</w:t>
            </w:r>
          </w:p>
        </w:tc>
        <w:tc>
          <w:tcPr>
            <w:tcW w:type="dxa" w:w="1938"/>
            <w:tcMar>
              <w:top w:w="50" w:type="dxa"/>
              <w:start w:w="90" w:type="dxa"/>
              <w:bottom w:w="5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Основание изменения</w:t>
            </w:r>
          </w:p>
        </w:tc>
        <w:tc>
          <w:tcPr>
            <w:tcW w:type="dxa" w:w="1938"/>
            <w:tcMar>
              <w:top w:w="50" w:type="dxa"/>
              <w:start w:w="90" w:type="dxa"/>
              <w:bottom w:w="5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Автор</w:t>
            </w:r>
          </w:p>
        </w:tc>
        <w:tc>
          <w:tcPr>
            <w:tcW w:type="dxa" w:w="1938"/>
            <w:tcMar>
              <w:top w:w="50" w:type="dxa"/>
              <w:start w:w="90" w:type="dxa"/>
              <w:bottom w:w="5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1134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1.0</w:t>
            </w:r>
          </w:p>
        </w:tc>
        <w:tc>
          <w:tcPr>
            <w:tcW w:type="dxa" w:w="1587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19.07.2025</w:t>
            </w:r>
          </w:p>
        </w:tc>
        <w:tc>
          <w:tcPr>
            <w:tcW w:type="dxa" w:w="4082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Первичная редакция документа</w:t>
            </w:r>
          </w:p>
        </w:tc>
        <w:tc>
          <w:tcPr>
            <w:tcW w:type="dxa" w:w="1984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Лазарев М.С.</w:t>
            </w:r>
          </w:p>
        </w:tc>
        <w:tc>
          <w:tcPr>
            <w:tcW w:type="dxa" w:w="1417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Подписано</w:t>
            </w:r>
          </w:p>
        </w:tc>
      </w:tr>
      <w:tr>
        <w:tc>
          <w:tcPr>
            <w:tcW w:type="dxa" w:w="1134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1.1</w:t>
            </w:r>
          </w:p>
        </w:tc>
        <w:tc>
          <w:tcPr>
            <w:tcW w:type="dxa" w:w="1587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20.07.2025</w:t>
            </w:r>
          </w:p>
        </w:tc>
        <w:tc>
          <w:tcPr>
            <w:tcW w:type="dxa" w:w="4082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Уточнено описание среды тестирования</w:t>
            </w:r>
          </w:p>
        </w:tc>
        <w:tc>
          <w:tcPr>
            <w:tcW w:type="dxa" w:w="1984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Лазарев М.С.</w:t>
            </w:r>
          </w:p>
        </w:tc>
        <w:tc>
          <w:tcPr>
            <w:tcW w:type="dxa" w:w="1417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В работе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Ответственный тестировщик</w:t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Руководитель QA</w:t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</w:tr>
      <w:tr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_____________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2036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036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Е.С. Климова</w:t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_____________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20365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036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Д.Н. Яковлев</w:t>
            </w:r>
          </w:p>
        </w:tc>
      </w:tr>
      <w:tr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20.07.2025</w:t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20.07.2025</w:t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18"/>
      <w:gridCol w:w="3402"/>
      <w:gridCol w:w="3118"/>
    </w:tblGrid>
    <w:tr>
      <w:tc>
        <w:tcPr>
          <w:tcW w:type="dxa" w:w="3118"/>
          <w:vAlign w:val="center"/>
          <w:tcMar>
            <w:top w:w="30" w:type="dxa"/>
            <w:start w:w="70" w:type="dxa"/>
            <w:bottom w:w="30" w:type="dxa"/>
            <w:end w:w="70" w:type="dxa"/>
          </w:tcMar>
        </w:tcPr>
        <w:p>
          <w:pPr>
            <w:jc w:val="center"/>
          </w:pPr>
          <w:r>
            <w:rPr>
              <w:rFonts w:ascii="Times New Roman" w:hAnsi="Times New Roman" w:eastAsia="Times New Roman"/>
              <w:sz w:val="18"/>
            </w:rPr>
            <w:t>СФТ-BFE-ОТ-231</w:t>
          </w:r>
        </w:p>
      </w:tc>
      <w:tc>
        <w:tcPr>
          <w:tcW w:type="dxa" w:w="3402"/>
          <w:vAlign w:val="center"/>
          <w:tcMar>
            <w:top w:w="30" w:type="dxa"/>
            <w:start w:w="70" w:type="dxa"/>
            <w:bottom w:w="30" w:type="dxa"/>
            <w:end w:w="70" w:type="dxa"/>
          </w:tcMar>
        </w:tcPr>
        <w:p>
          <w:pPr>
            <w:jc w:val="center"/>
          </w:pPr>
          <w:r>
            <w:rPr>
              <w:rFonts w:ascii="Times New Roman" w:hAnsi="Times New Roman" w:eastAsia="Times New Roman"/>
              <w:sz w:val="18"/>
            </w:rPr>
            <w:t>Для служебного пользования</w:t>
          </w:r>
        </w:p>
      </w:tc>
      <w:tc>
        <w:tcPr>
          <w:tcW w:type="dxa" w:w="3118"/>
          <w:vAlign w:val="center"/>
          <w:tcMar>
            <w:top w:w="30" w:type="dxa"/>
            <w:start w:w="70" w:type="dxa"/>
            <w:bottom w:w="30" w:type="dxa"/>
            <w:end w:w="70" w:type="dxa"/>
          </w:tcMar>
        </w:tcPr>
        <w:p>
          <w:pPr>
            <w:jc w:val="center"/>
          </w:pPr>
          <w:r>
            <w:rPr>
              <w:rFonts w:ascii="Times New Roman" w:hAnsi="Times New Roman" w:eastAsia="Times New Roman"/>
              <w:sz w:val="18"/>
            </w:rPr>
            <w:t xml:space="preserve">Стр.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sz w:val="18"/>
      </w:rPr>
      <w:t>АО «СеверФинТех»  |  СФТ-BFE-ОТ-231  |  Версия 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SFT">
    <w:name w:val="Body Text SFT"/>
    <w:basedOn w:val="Normal"/>
    <w:pPr>
      <w:spacing w:line="360" w:lineRule="auto"/>
      <w:ind w:firstLine="709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