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ind w:firstLine="0"/>
        <w:jc w:val="right"/>
      </w:pPr>
      <w:r>
        <w:rPr>
          <w:rFonts w:ascii="Times New Roman" w:hAnsi="Times New Roman" w:eastAsia="Times New Roman"/>
          <w:b/>
          <w:i w:val="0"/>
          <w:sz w:val="24"/>
        </w:rPr>
        <w:t>СОГЛАСОВАНО</w:t>
        <w:br/>
      </w:r>
      <w:r>
        <w:rPr>
          <w:rFonts w:ascii="Times New Roman" w:hAnsi="Times New Roman" w:eastAsia="Times New Roman"/>
          <w:b w:val="0"/>
          <w:i w:val="0"/>
          <w:sz w:val="24"/>
        </w:rPr>
        <w:t>Руководитель тестирования</w:t>
        <w:br/>
      </w:r>
      <w:r>
        <w:rPr>
          <w:rFonts w:ascii="Times New Roman" w:hAnsi="Times New Roman" w:eastAsia="Times New Roman"/>
          <w:b w:val="0"/>
          <w:i w:val="0"/>
          <w:sz w:val="24"/>
        </w:rPr>
        <w:t>______________ / М. Д. Капустин /</w:t>
        <w:br/>
      </w:r>
      <w:r>
        <w:rPr>
          <w:rFonts w:ascii="Times New Roman" w:hAnsi="Times New Roman" w:eastAsia="Times New Roman"/>
          <w:b w:val="0"/>
          <w:i w:val="0"/>
          <w:sz w:val="24"/>
        </w:rPr>
        <w:t>15 апреля 2026 г.</w:t>
      </w:r>
    </w:p>
    <w:p>
      <w:pPr>
        <w:spacing w:before="240" w:after="0"/>
        <w:ind w:firstLine="0"/>
        <w:jc w:val="center"/>
      </w:pPr>
      <w:r>
        <w:rPr>
          <w:rFonts w:ascii="Times New Roman" w:hAnsi="Times New Roman" w:eastAsia="Times New Roman"/>
          <w:b/>
          <w:sz w:val="28"/>
        </w:rPr>
        <w:t>ТЕСТ-ПЛАН РЕЛИЗА</w:t>
      </w:r>
    </w:p>
    <w:p>
      <w:pPr>
        <w:spacing w:before="0" w:after="0"/>
        <w:ind w:firstLine="0"/>
        <w:jc w:val="center"/>
      </w:pPr>
      <w:r>
        <w:rPr>
          <w:rFonts w:ascii="Times New Roman" w:hAnsi="Times New Roman" w:eastAsia="Times New Roman"/>
          <w:b/>
          <w:sz w:val="24"/>
        </w:rPr>
        <w:t>Проверка сценариев авторизации и профиля пользователя</w:t>
      </w:r>
    </w:p>
    <w:p>
      <w:pPr>
        <w:spacing w:before="0" w:after="160"/>
        <w:ind w:firstLine="0"/>
        <w:jc w:val="center"/>
      </w:pPr>
      <w:r>
        <w:rPr>
          <w:rFonts w:ascii="Times New Roman" w:hAnsi="Times New Roman" w:eastAsia="Times New Roman"/>
          <w:b w:val="0"/>
          <w:sz w:val="24"/>
        </w:rPr>
        <w:t>Продукт: OrbitID Enterprise. Версия релиза: 1.5.0. Сборка: OID-1.5.0.642.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D9E2F3"/>
          </w:tcPr>
          <w:p>
            <w:pPr>
              <w:spacing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/>
                <w:sz w:val="24"/>
              </w:rPr>
              <w:t>Обозначение документа</w:t>
            </w:r>
          </w:p>
        </w:tc>
        <w:tc>
          <w:tcPr>
            <w:tcW w:type="dxa" w:w="498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D9E2F3"/>
          </w:tcPr>
          <w:p>
            <w:pPr>
              <w:spacing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ТП-OID-ENT-1.5.0-2026</w:t>
            </w:r>
          </w:p>
        </w:tc>
      </w:tr>
      <w:tr>
        <w:tc>
          <w:tcPr>
            <w:tcW w:type="dxa" w:w="498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/>
                <w:sz w:val="24"/>
              </w:rPr>
              <w:t>Основание</w:t>
            </w:r>
          </w:p>
        </w:tc>
        <w:tc>
          <w:tcPr>
            <w:tcW w:type="dxa" w:w="498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Спецификация требований STR-OID-ENT-1.5.0-2026</w:t>
            </w:r>
          </w:p>
        </w:tc>
      </w:tr>
      <w:tr>
        <w:tc>
          <w:tcPr>
            <w:tcW w:type="dxa" w:w="498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/>
                <w:sz w:val="24"/>
              </w:rPr>
              <w:t>Тестовый контур</w:t>
            </w:r>
          </w:p>
        </w:tc>
        <w:tc>
          <w:tcPr>
            <w:tcW w:type="dxa" w:w="498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UAT-ID-03</w:t>
            </w:r>
          </w:p>
        </w:tc>
      </w:tr>
      <w:tr>
        <w:tc>
          <w:tcPr>
            <w:tcW w:type="dxa" w:w="498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/>
                <w:sz w:val="24"/>
              </w:rPr>
              <w:t>Версия формы профиля</w:t>
            </w:r>
          </w:p>
        </w:tc>
        <w:tc>
          <w:tcPr>
            <w:tcW w:type="dxa" w:w="498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PF-24.05</w:t>
            </w:r>
          </w:p>
        </w:tc>
      </w:tr>
      <w:tr>
        <w:tc>
          <w:tcPr>
            <w:tcW w:type="dxa" w:w="498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/>
                <w:sz w:val="24"/>
              </w:rPr>
              <w:t>Цель</w:t>
            </w:r>
          </w:p>
        </w:tc>
        <w:tc>
          <w:tcPr>
            <w:tcW w:type="dxa" w:w="498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Подтверждение готовности сценариев авторизации и управления профилем</w:t>
            </w:r>
          </w:p>
        </w:tc>
      </w:tr>
      <w:tr>
        <w:tc>
          <w:tcPr>
            <w:tcW w:type="dxa" w:w="498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/>
                <w:sz w:val="24"/>
              </w:rPr>
              <w:t>Дата подготовки</w:t>
            </w:r>
          </w:p>
        </w:tc>
        <w:tc>
          <w:tcPr>
            <w:tcW w:type="dxa" w:w="498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16.04.2026</w:t>
            </w:r>
          </w:p>
        </w:tc>
      </w:tr>
    </w:tbl>
    <w:p>
      <w:pPr>
        <w:spacing w:before="200" w:after="0"/>
        <w:ind w:firstLine="0"/>
        <w:jc w:val="both"/>
      </w:pPr>
      <w:r>
        <w:rPr>
          <w:rFonts w:ascii="Times New Roman" w:hAnsi="Times New Roman" w:eastAsia="Times New Roman"/>
          <w:b/>
          <w:sz w:val="24"/>
        </w:rPr>
        <w:t>1 Объем проверки</w:t>
      </w:r>
    </w:p>
    <w:p>
      <w:pPr>
        <w:spacing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4"/>
        </w:rPr>
        <w:t>В объем проверки включены сценарии входа в систему, блокировки учетной записи, восстановления доступа, просмотра и изменения ключевых атрибутов профиля пользователя, а также контроль отображения шаблонных уведомлений.</w:t>
      </w:r>
    </w:p>
    <w:p>
      <w:pPr>
        <w:spacing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4"/>
        </w:rPr>
        <w:t>Проверка выполняется на релиз-кандидате, развернутом в пользовательском тестовом контуре, с использованием эталонных ролей «Сотрудник», «Руководитель» и «Администратор подразделения».</w:t>
      </w:r>
    </w:p>
    <w:p>
      <w:pPr>
        <w:spacing w:before="200" w:after="0"/>
        <w:ind w:firstLine="0"/>
        <w:jc w:val="both"/>
      </w:pPr>
      <w:r>
        <w:rPr>
          <w:rFonts w:ascii="Times New Roman" w:hAnsi="Times New Roman" w:eastAsia="Times New Roman"/>
          <w:b/>
          <w:sz w:val="24"/>
        </w:rPr>
        <w:t>2 Предусловия</w:t>
      </w:r>
    </w:p>
    <w:p>
      <w:pPr>
        <w:spacing w:before="0" w:after="0"/>
        <w:ind w:firstLine="0"/>
        <w:jc w:val="both"/>
      </w:pPr>
      <w:r>
        <w:rPr>
          <w:rFonts w:ascii="Times New Roman" w:hAnsi="Times New Roman" w:eastAsia="Times New Roman"/>
          <w:b w:val="0"/>
          <w:sz w:val="24"/>
        </w:rPr>
        <w:t>2.1 Тестовые учетные записи созданы и привязаны к актуальным адресам электронной почты.</w:t>
      </w:r>
    </w:p>
    <w:p>
      <w:pPr>
        <w:spacing w:before="0" w:after="0"/>
        <w:ind w:firstLine="0"/>
        <w:jc w:val="both"/>
      </w:pPr>
      <w:r>
        <w:rPr>
          <w:rFonts w:ascii="Times New Roman" w:hAnsi="Times New Roman" w:eastAsia="Times New Roman"/>
          <w:b w:val="0"/>
          <w:sz w:val="24"/>
        </w:rPr>
        <w:t>2.2 Для части учетных записей включена двухфакторная аутентификация по одноразовому коду.</w:t>
      </w:r>
    </w:p>
    <w:p>
      <w:pPr>
        <w:spacing w:before="0" w:after="0"/>
        <w:ind w:firstLine="0"/>
        <w:jc w:val="both"/>
      </w:pPr>
      <w:r>
        <w:rPr>
          <w:rFonts w:ascii="Times New Roman" w:hAnsi="Times New Roman" w:eastAsia="Times New Roman"/>
          <w:b w:val="0"/>
          <w:sz w:val="24"/>
        </w:rPr>
        <w:t>2.3 Сервис отправки почтовых уведомлений и SMS-шлюз доступны из тестового контура.</w:t>
      </w:r>
    </w:p>
    <w:p>
      <w:pPr>
        <w:spacing w:before="0" w:after="0"/>
        <w:ind w:firstLine="0"/>
        <w:jc w:val="both"/>
      </w:pPr>
      <w:r>
        <w:rPr>
          <w:rFonts w:ascii="Times New Roman" w:hAnsi="Times New Roman" w:eastAsia="Times New Roman"/>
          <w:b w:val="0"/>
          <w:sz w:val="24"/>
        </w:rPr>
        <w:t>2.4 Шаблоны экранов профиля пользователя соответствуют редакции PF-24.04.</w:t>
      </w:r>
    </w:p>
    <w:p>
      <w:pPr>
        <w:spacing w:before="200" w:after="0"/>
        <w:ind w:firstLine="0"/>
        <w:jc w:val="both"/>
      </w:pPr>
      <w:r>
        <w:rPr>
          <w:rFonts w:ascii="Times New Roman" w:hAnsi="Times New Roman" w:eastAsia="Times New Roman"/>
          <w:b/>
          <w:sz w:val="24"/>
        </w:rPr>
        <w:t>3 Перечень сценариев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D9E2F3"/>
          </w:tcPr>
          <w:p>
            <w:pPr>
              <w:spacing w:after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2"/>
              </w:rPr>
              <w:t>№</w:t>
            </w:r>
          </w:p>
        </w:tc>
        <w:tc>
          <w:tcPr>
            <w:tcW w:type="dxa" w:w="166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D9E2F3"/>
          </w:tcPr>
          <w:p>
            <w:pPr>
              <w:spacing w:after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2"/>
              </w:rPr>
              <w:t>Код</w:t>
            </w:r>
          </w:p>
        </w:tc>
        <w:tc>
          <w:tcPr>
            <w:tcW w:type="dxa" w:w="166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D9E2F3"/>
          </w:tcPr>
          <w:p>
            <w:pPr>
              <w:spacing w:after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2"/>
              </w:rPr>
              <w:t>Сценарий</w:t>
            </w:r>
          </w:p>
        </w:tc>
        <w:tc>
          <w:tcPr>
            <w:tcW w:type="dxa" w:w="166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D9E2F3"/>
          </w:tcPr>
          <w:p>
            <w:pPr>
              <w:spacing w:after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2"/>
              </w:rPr>
              <w:t>Предусловия</w:t>
            </w:r>
          </w:p>
        </w:tc>
        <w:tc>
          <w:tcPr>
            <w:tcW w:type="dxa" w:w="166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D9E2F3"/>
          </w:tcPr>
          <w:p>
            <w:pPr>
              <w:spacing w:after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2"/>
              </w:rPr>
              <w:t>Ожидаемый результат</w:t>
            </w:r>
          </w:p>
        </w:tc>
        <w:tc>
          <w:tcPr>
            <w:tcW w:type="dxa" w:w="166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D9E2F3"/>
          </w:tcPr>
          <w:p>
            <w:pPr>
              <w:spacing w:after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2"/>
              </w:rPr>
              <w:t>Приоритет</w:t>
            </w:r>
          </w:p>
        </w:tc>
      </w:tr>
      <w:tr>
        <w:tc>
          <w:tcPr>
            <w:tcW w:type="dxa" w:w="166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1"/>
              </w:rPr>
              <w:t>1</w:t>
            </w:r>
          </w:p>
        </w:tc>
        <w:tc>
          <w:tcPr>
            <w:tcW w:type="dxa" w:w="166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1"/>
              </w:rPr>
              <w:t>AUTH-01</w:t>
            </w:r>
          </w:p>
        </w:tc>
        <w:tc>
          <w:tcPr>
            <w:tcW w:type="dxa" w:w="166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1"/>
              </w:rPr>
              <w:t>Успешная авторизация действующего пользователя</w:t>
            </w:r>
          </w:p>
        </w:tc>
        <w:tc>
          <w:tcPr>
            <w:tcW w:type="dxa" w:w="166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1"/>
              </w:rPr>
              <w:t>Аккаунт активен</w:t>
            </w:r>
          </w:p>
        </w:tc>
        <w:tc>
          <w:tcPr>
            <w:tcW w:type="dxa" w:w="166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1"/>
              </w:rPr>
              <w:t>Открывается главная страница и карточка профиля</w:t>
            </w:r>
          </w:p>
        </w:tc>
        <w:tc>
          <w:tcPr>
            <w:tcW w:type="dxa" w:w="166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1"/>
              </w:rPr>
              <w:t>Высокий</w:t>
            </w:r>
          </w:p>
        </w:tc>
      </w:tr>
      <w:tr>
        <w:tc>
          <w:tcPr>
            <w:tcW w:type="dxa" w:w="166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1"/>
              </w:rPr>
              <w:t>2</w:t>
            </w:r>
          </w:p>
        </w:tc>
        <w:tc>
          <w:tcPr>
            <w:tcW w:type="dxa" w:w="166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1"/>
              </w:rPr>
              <w:t>AUTH-02</w:t>
            </w:r>
          </w:p>
        </w:tc>
        <w:tc>
          <w:tcPr>
            <w:tcW w:type="dxa" w:w="166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1"/>
              </w:rPr>
              <w:t>Блокировка после пяти неверных паролей</w:t>
            </w:r>
          </w:p>
        </w:tc>
        <w:tc>
          <w:tcPr>
            <w:tcW w:type="dxa" w:w="166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1"/>
              </w:rPr>
              <w:t>Аккаунт активен</w:t>
            </w:r>
          </w:p>
        </w:tc>
        <w:tc>
          <w:tcPr>
            <w:tcW w:type="dxa" w:w="166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1"/>
              </w:rPr>
              <w:t>Показывается сообщение о временной блокировке</w:t>
            </w:r>
          </w:p>
        </w:tc>
        <w:tc>
          <w:tcPr>
            <w:tcW w:type="dxa" w:w="166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1"/>
              </w:rPr>
              <w:t>Высокий</w:t>
            </w:r>
          </w:p>
        </w:tc>
      </w:tr>
      <w:tr>
        <w:tc>
          <w:tcPr>
            <w:tcW w:type="dxa" w:w="166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1"/>
              </w:rPr>
              <w:t>3</w:t>
            </w:r>
          </w:p>
        </w:tc>
        <w:tc>
          <w:tcPr>
            <w:tcW w:type="dxa" w:w="166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1"/>
              </w:rPr>
              <w:t>AUTH-03</w:t>
            </w:r>
          </w:p>
        </w:tc>
        <w:tc>
          <w:tcPr>
            <w:tcW w:type="dxa" w:w="166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1"/>
              </w:rPr>
              <w:t>Вход при включенной 2FA</w:t>
            </w:r>
          </w:p>
        </w:tc>
        <w:tc>
          <w:tcPr>
            <w:tcW w:type="dxa" w:w="166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1"/>
              </w:rPr>
              <w:t>Для пользователя включена 2FA</w:t>
            </w:r>
          </w:p>
        </w:tc>
        <w:tc>
          <w:tcPr>
            <w:tcW w:type="dxa" w:w="166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1"/>
              </w:rPr>
              <w:t>После ввода кода создается сессия</w:t>
            </w:r>
          </w:p>
        </w:tc>
        <w:tc>
          <w:tcPr>
            <w:tcW w:type="dxa" w:w="166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1"/>
              </w:rPr>
              <w:t>Высокий</w:t>
            </w:r>
          </w:p>
        </w:tc>
      </w:tr>
      <w:tr>
        <w:tc>
          <w:tcPr>
            <w:tcW w:type="dxa" w:w="166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1"/>
              </w:rPr>
              <w:t>4</w:t>
            </w:r>
          </w:p>
        </w:tc>
        <w:tc>
          <w:tcPr>
            <w:tcW w:type="dxa" w:w="166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1"/>
              </w:rPr>
              <w:t>AUTH-04</w:t>
            </w:r>
          </w:p>
        </w:tc>
        <w:tc>
          <w:tcPr>
            <w:tcW w:type="dxa" w:w="166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1"/>
              </w:rPr>
              <w:t>Восстановление доступа по e-mail</w:t>
            </w:r>
          </w:p>
        </w:tc>
        <w:tc>
          <w:tcPr>
            <w:tcW w:type="dxa" w:w="166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1"/>
              </w:rPr>
              <w:t>Известен логин пользователя</w:t>
            </w:r>
          </w:p>
        </w:tc>
        <w:tc>
          <w:tcPr>
            <w:tcW w:type="dxa" w:w="166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1"/>
              </w:rPr>
              <w:t>Письмо со ссылкой доставлено, пароль изменен</w:t>
            </w:r>
          </w:p>
        </w:tc>
        <w:tc>
          <w:tcPr>
            <w:tcW w:type="dxa" w:w="166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1"/>
              </w:rPr>
              <w:t>Высокий</w:t>
            </w:r>
          </w:p>
        </w:tc>
      </w:tr>
      <w:tr>
        <w:tc>
          <w:tcPr>
            <w:tcW w:type="dxa" w:w="166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1"/>
              </w:rPr>
              <w:t>5</w:t>
            </w:r>
          </w:p>
        </w:tc>
        <w:tc>
          <w:tcPr>
            <w:tcW w:type="dxa" w:w="166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1"/>
              </w:rPr>
              <w:t>AUTH-06</w:t>
            </w:r>
          </w:p>
        </w:tc>
        <w:tc>
          <w:tcPr>
            <w:tcW w:type="dxa" w:w="166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1"/>
              </w:rPr>
              <w:t>Смена пароля в профиле</w:t>
            </w:r>
          </w:p>
        </w:tc>
        <w:tc>
          <w:tcPr>
            <w:tcW w:type="dxa" w:w="166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1"/>
              </w:rPr>
              <w:t>Есть действующая сессия</w:t>
            </w:r>
          </w:p>
        </w:tc>
        <w:tc>
          <w:tcPr>
            <w:tcW w:type="dxa" w:w="166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1"/>
              </w:rPr>
              <w:t>Новый пароль сохраняется, повторный вход успешен</w:t>
            </w:r>
          </w:p>
        </w:tc>
        <w:tc>
          <w:tcPr>
            <w:tcW w:type="dxa" w:w="166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1"/>
              </w:rPr>
              <w:t>Средний</w:t>
            </w:r>
          </w:p>
        </w:tc>
      </w:tr>
      <w:tr>
        <w:tc>
          <w:tcPr>
            <w:tcW w:type="dxa" w:w="166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1"/>
              </w:rPr>
              <w:t>6</w:t>
            </w:r>
          </w:p>
        </w:tc>
        <w:tc>
          <w:tcPr>
            <w:tcW w:type="dxa" w:w="166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1"/>
              </w:rPr>
              <w:t>PROF-01</w:t>
            </w:r>
          </w:p>
        </w:tc>
        <w:tc>
          <w:tcPr>
            <w:tcW w:type="dxa" w:w="166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1"/>
              </w:rPr>
              <w:t>Просмотр персональных данных в профиле</w:t>
            </w:r>
          </w:p>
        </w:tc>
        <w:tc>
          <w:tcPr>
            <w:tcW w:type="dxa" w:w="166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1"/>
              </w:rPr>
              <w:t>Есть действующая сессия</w:t>
            </w:r>
          </w:p>
        </w:tc>
        <w:tc>
          <w:tcPr>
            <w:tcW w:type="dxa" w:w="166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1"/>
              </w:rPr>
              <w:t>Отображаются ФИО, подразделение, контакты</w:t>
            </w:r>
          </w:p>
        </w:tc>
        <w:tc>
          <w:tcPr>
            <w:tcW w:type="dxa" w:w="166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1"/>
              </w:rPr>
              <w:t>Средний</w:t>
            </w:r>
          </w:p>
        </w:tc>
      </w:tr>
      <w:tr>
        <w:tc>
          <w:tcPr>
            <w:tcW w:type="dxa" w:w="166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1"/>
              </w:rPr>
              <w:t>7</w:t>
            </w:r>
          </w:p>
        </w:tc>
        <w:tc>
          <w:tcPr>
            <w:tcW w:type="dxa" w:w="166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1"/>
              </w:rPr>
              <w:t>PROF-02</w:t>
            </w:r>
          </w:p>
        </w:tc>
        <w:tc>
          <w:tcPr>
            <w:tcW w:type="dxa" w:w="166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1"/>
              </w:rPr>
              <w:t>Изменение отображаемого номера телефона</w:t>
            </w:r>
          </w:p>
        </w:tc>
        <w:tc>
          <w:tcPr>
            <w:tcW w:type="dxa" w:w="166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1"/>
              </w:rPr>
              <w:t>Есть действующая сессия</w:t>
            </w:r>
          </w:p>
        </w:tc>
        <w:tc>
          <w:tcPr>
            <w:tcW w:type="dxa" w:w="166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1"/>
              </w:rPr>
              <w:t>Изменение сохранено после подтверждения</w:t>
            </w:r>
          </w:p>
        </w:tc>
        <w:tc>
          <w:tcPr>
            <w:tcW w:type="dxa" w:w="166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1"/>
              </w:rPr>
              <w:t>Средний</w:t>
            </w:r>
          </w:p>
        </w:tc>
      </w:tr>
      <w:tr>
        <w:tc>
          <w:tcPr>
            <w:tcW w:type="dxa" w:w="166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1"/>
              </w:rPr>
              <w:t>8</w:t>
            </w:r>
          </w:p>
        </w:tc>
        <w:tc>
          <w:tcPr>
            <w:tcW w:type="dxa" w:w="166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1"/>
              </w:rPr>
              <w:t>PROF-03</w:t>
            </w:r>
          </w:p>
        </w:tc>
        <w:tc>
          <w:tcPr>
            <w:tcW w:type="dxa" w:w="166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1"/>
              </w:rPr>
              <w:t>Печать карточки пользователя</w:t>
            </w:r>
          </w:p>
        </w:tc>
        <w:tc>
          <w:tcPr>
            <w:tcW w:type="dxa" w:w="166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1"/>
              </w:rPr>
              <w:t>Есть действующая сессия</w:t>
            </w:r>
          </w:p>
        </w:tc>
        <w:tc>
          <w:tcPr>
            <w:tcW w:type="dxa" w:w="166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1"/>
              </w:rPr>
              <w:t>Открывается печатная форма без искажений</w:t>
            </w:r>
          </w:p>
        </w:tc>
        <w:tc>
          <w:tcPr>
            <w:tcW w:type="dxa" w:w="166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1"/>
              </w:rPr>
              <w:t>Низкий</w:t>
            </w:r>
          </w:p>
        </w:tc>
      </w:tr>
    </w:tbl>
    <w:p>
      <w:pPr>
        <w:spacing w:before="200" w:after="0"/>
        <w:ind w:firstLine="0"/>
        <w:jc w:val="both"/>
      </w:pPr>
      <w:r>
        <w:rPr>
          <w:rFonts w:ascii="Times New Roman" w:hAnsi="Times New Roman" w:eastAsia="Times New Roman"/>
          <w:b/>
          <w:sz w:val="24"/>
        </w:rPr>
        <w:t>4 Критерии завершения</w:t>
      </w:r>
    </w:p>
    <w:p>
      <w:pPr>
        <w:spacing w:before="0" w:after="0"/>
        <w:ind w:firstLine="0"/>
        <w:jc w:val="both"/>
      </w:pPr>
      <w:r>
        <w:rPr>
          <w:rFonts w:ascii="Times New Roman" w:hAnsi="Times New Roman" w:eastAsia="Times New Roman"/>
          <w:b w:val="0"/>
          <w:sz w:val="24"/>
        </w:rPr>
        <w:t>4.1 Проверка считается завершенной при выполнении всех сценариев высокого приоритета и не менее 95 процентов сценариев среднего и низкого приоритета.</w:t>
      </w:r>
    </w:p>
    <w:p>
      <w:pPr>
        <w:spacing w:before="0" w:after="0"/>
        <w:ind w:firstLine="0"/>
        <w:jc w:val="both"/>
      </w:pPr>
      <w:r>
        <w:rPr>
          <w:rFonts w:ascii="Times New Roman" w:hAnsi="Times New Roman" w:eastAsia="Times New Roman"/>
          <w:b w:val="0"/>
          <w:sz w:val="24"/>
        </w:rPr>
        <w:t>4.2 Критические и блокирующие дефекты в сценариях авторизации, восстановления доступа и сохранения профиля отсутствуют.</w:t>
      </w:r>
    </w:p>
    <w:p>
      <w:pPr>
        <w:spacing w:before="0" w:after="0"/>
        <w:ind w:firstLine="0"/>
        <w:jc w:val="both"/>
      </w:pPr>
      <w:r>
        <w:rPr>
          <w:rFonts w:ascii="Times New Roman" w:hAnsi="Times New Roman" w:eastAsia="Times New Roman"/>
          <w:b w:val="0"/>
          <w:sz w:val="24"/>
        </w:rPr>
        <w:t>4.3 Результаты тестирования оформляются отдельным отчетом по форме ОТ-OID-ENT.</w:t>
      </w:r>
    </w:p>
    <w:p>
      <w:pPr>
        <w:spacing w:before="320" w:after="0"/>
        <w:ind w:firstLine="0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Ведущий инженер по тестированию              ____________ / А. П. Леонов /</w:t>
      </w:r>
    </w:p>
    <w:p>
      <w:pPr>
        <w:spacing w:before="160" w:after="0"/>
        <w:ind w:firstLine="0"/>
        <w:jc w:val="both"/>
      </w:pPr>
      <w:r>
        <w:drawing>
          <wp:inline xmlns:a="http://schemas.openxmlformats.org/drawingml/2006/main" xmlns:pic="http://schemas.openxmlformats.org/drawingml/2006/picture">
            <wp:extent cx="2808000" cy="998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ign_stamp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08000" cy="9984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34" w:right="567" w:bottom="1134" w:left="1701" w:header="567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ind w:firstLine="0"/>
      <w:jc w:val="center"/>
    </w:pPr>
    <w:r>
      <w:rPr>
        <w:rFonts w:ascii="Times New Roman" w:hAnsi="Times New Roman" w:eastAsia="Times New Roman"/>
        <w:b w:val="0"/>
        <w:i w:val="0"/>
        <w:sz w:val="20"/>
      </w:rPr>
      <w:t xml:space="preserve">Лист </w:t>
    </w:r>
    <w: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ind w:firstLine="0"/>
      <w:jc w:val="left"/>
    </w:pPr>
    <w:r>
      <w:rPr>
        <w:rFonts w:ascii="Times New Roman" w:hAnsi="Times New Roman" w:eastAsia="Times New Roman"/>
        <w:b/>
        <w:i w:val="0"/>
        <w:sz w:val="22"/>
      </w:rPr>
      <w:t>ПАО «Орбита Финтех Системы»</w:t>
      <w:br/>
    </w:r>
    <w:r>
      <w:rPr>
        <w:rFonts w:ascii="Times New Roman" w:hAnsi="Times New Roman" w:eastAsia="Times New Roman"/>
        <w:b w:val="0"/>
        <w:i w:val="0"/>
        <w:sz w:val="20"/>
      </w:rPr>
      <w:t>Управление качества и выпуска ПО</w:t>
      <w:br/>
    </w:r>
    <w:r>
      <w:rPr>
        <w:rFonts w:ascii="Times New Roman" w:hAnsi="Times New Roman" w:eastAsia="Times New Roman"/>
        <w:b w:val="0"/>
        <w:i/>
        <w:sz w:val="18"/>
      </w:rPr>
      <w:t>ОФС-УКВП-2026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/>
      <w:ind w:firstLine="709"/>
    </w:pPr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