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УТВЕРЖДАЮ</w:t>
              <w:br/>
              <w:t>Руководитель программы внедрения</w:t>
              <w:br/>
              <w:t>Нестерова О.В.</w:t>
            </w:r>
          </w:p>
        </w:tc>
      </w:tr>
      <w:tr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/>
        </w:tc>
        <w:tc>
          <w:tcPr>
            <w:tcW w:type="dxa" w:w="4844"/>
            <w:tcMar>
              <w:top w:w="30" w:type="dxa"/>
              <w:start w:w="80" w:type="dxa"/>
              <w:bottom w:w="30" w:type="dxa"/>
              <w:end w:w="80" w:type="dxa"/>
            </w:tcMar>
            <w:vAlign w:val="center"/>
          </w:tcPr>
          <w:p>
            <w:pPr>
              <w:jc w:val="left"/>
            </w:pPr>
            <w:r>
              <w:t>«___» __________ 2025 г.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АО «СЕВЕРФИНТЕХ»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Управление платформ корпоративного бюджетирования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ЖУРНАЛ ДЕФЕКТОВ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актуальных дефектов релиза BudgetFlow Enterprise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Код документа: СФТ-BFE-ЖД-231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Версия: 1.1</w:t>
      </w:r>
    </w:p>
    <w:p/>
    <w:p/>
    <w:p/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118"/>
      </w:tblGrid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Подготовил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Согласовал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Контрольный экземпляр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Координатор релиза Борисов А.Н.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Руководитель разработки Яковлев Д.Н.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Экз. № 1</w:t>
            </w:r>
          </w:p>
        </w:tc>
      </w:tr>
      <w:tr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_____________/Е.С. Климова/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_____________/Д.Н. Яковлев/</w:t>
            </w:r>
          </w:p>
        </w:tc>
        <w:tc>
          <w:tcPr>
            <w:tcW w:type="dxa" w:w="323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t>Хранить 3 года</w:t>
            </w:r>
          </w:p>
        </w:tc>
      </w:tr>
    </w:tbl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008000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none"/>
        </w:rPr>
        <w:t>Москва, 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1 Назначение документа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Журнал предназначен для учета и сопровождения актуальных дефектов релиза 2.3.1 приложения BudgetFlow Enterprise, обнаруженных по итогам регрессионного и приемочного тестирования.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2 Правила ведения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В журнал включаются дефекты со статусами Open, In Progress, Ready for Retest и Deferred.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Для каждого дефекта фиксируются дата регистрации, приоритет, затронутый модуль, краткое описание, шаги воспроизведения и ответственный исполнитель.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Записи о закрытых дефектах переносятся в архив после выпуска релиза и в текущей редакции документа не отражаются.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3 Актуальные дефекты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020"/>
        <w:gridCol w:w="1247"/>
        <w:gridCol w:w="3118"/>
        <w:gridCol w:w="2268"/>
        <w:gridCol w:w="1304"/>
        <w:gridCol w:w="1247"/>
      </w:tblGrid>
      <w:tr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ID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Приор.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Модуль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Описание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План устранения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Статус</w:t>
            </w:r>
          </w:p>
        </w:tc>
        <w:tc>
          <w:tcPr>
            <w:tcW w:type="dxa" w:w="1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Исполнитель</w:t>
            </w:r>
          </w:p>
        </w:tc>
      </w:tr>
      <w:tr>
        <w:tc>
          <w:tcPr>
            <w:tcW w:type="dxa" w:w="113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BFE-2174</w:t>
            </w:r>
          </w:p>
        </w:tc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Major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Распределение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При распределении на 7 обществ возможно расхождение 0,01 руб. в своде.</w:t>
            </w:r>
          </w:p>
        </w:tc>
        <w:tc>
          <w:tcPr>
            <w:tcW w:type="dxa" w:w="226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Выравнивание остатка на обществе с максимальной долей.</w:t>
            </w:r>
          </w:p>
        </w:tc>
        <w:tc>
          <w:tcPr>
            <w:tcW w:type="dxa" w:w="130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Open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Поляков Р.С.</w:t>
            </w:r>
          </w:p>
        </w:tc>
      </w:tr>
      <w:tr>
        <w:tc>
          <w:tcPr>
            <w:tcW w:type="dxa" w:w="113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BFE-2191</w:t>
            </w:r>
          </w:p>
        </w:tc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Minor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Консолидация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В протоколе консолидации не выводится код резервной статьи.</w:t>
            </w:r>
          </w:p>
        </w:tc>
        <w:tc>
          <w:tcPr>
            <w:tcW w:type="dxa" w:w="226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Доработать шаблон печатной формы протокола.</w:t>
            </w:r>
          </w:p>
        </w:tc>
        <w:tc>
          <w:tcPr>
            <w:tcW w:type="dxa" w:w="130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In Progress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Комаров И.А.</w:t>
            </w:r>
          </w:p>
        </w:tc>
      </w:tr>
      <w:tr>
        <w:tc>
          <w:tcPr>
            <w:tcW w:type="dxa" w:w="113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BFE-2203</w:t>
            </w:r>
          </w:p>
        </w:tc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Minor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Интерфейс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На форме согласования кнопка «Скачать протокол» смещается при масштабе 90 %.</w:t>
            </w:r>
          </w:p>
        </w:tc>
        <w:tc>
          <w:tcPr>
            <w:tcW w:type="dxa" w:w="226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Скорректировать CSS-стили панели действий.</w:t>
            </w:r>
          </w:p>
        </w:tc>
        <w:tc>
          <w:tcPr>
            <w:tcW w:type="dxa" w:w="130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Ready for Retest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Федорова А.А.</w:t>
            </w:r>
          </w:p>
        </w:tc>
      </w:tr>
      <w:tr>
        <w:tc>
          <w:tcPr>
            <w:tcW w:type="dxa" w:w="113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BFE-2208</w:t>
            </w:r>
          </w:p>
        </w:tc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Major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Импорт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При загрузке XLSX с пустой аналитикой строка сохраняется без предупреждения.</w:t>
            </w:r>
          </w:p>
        </w:tc>
        <w:tc>
          <w:tcPr>
            <w:tcW w:type="dxa" w:w="226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Добавить блокирующую валидацию и сообщение пользователю.</w:t>
            </w:r>
          </w:p>
        </w:tc>
        <w:tc>
          <w:tcPr>
            <w:tcW w:type="dxa" w:w="130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Open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Тарасов Н.В.</w:t>
            </w:r>
          </w:p>
        </w:tc>
      </w:tr>
      <w:tr>
        <w:tc>
          <w:tcPr>
            <w:tcW w:type="dxa" w:w="113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BFE-2210</w:t>
            </w:r>
          </w:p>
        </w:tc>
        <w:tc>
          <w:tcPr>
            <w:tcW w:type="dxa" w:w="10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Minor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9"/>
              </w:rPr>
              <w:t>Аудит</w:t>
            </w:r>
          </w:p>
        </w:tc>
        <w:tc>
          <w:tcPr>
            <w:tcW w:type="dxa" w:w="311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В журнале аудита для массового перерасчета не сохраняется идентификатор сценария.</w:t>
            </w:r>
          </w:p>
        </w:tc>
        <w:tc>
          <w:tcPr>
            <w:tcW w:type="dxa" w:w="2268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Расширить состав атрибутов события budget.recalc.batch.</w:t>
            </w:r>
          </w:p>
        </w:tc>
        <w:tc>
          <w:tcPr>
            <w:tcW w:type="dxa" w:w="130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Deferred</w:t>
            </w:r>
          </w:p>
        </w:tc>
        <w:tc>
          <w:tcPr>
            <w:tcW w:type="dxa" w:w="124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19"/>
              </w:rPr>
              <w:t>Ершов М.Г.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4 Сводка по приоритетам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6236"/>
      </w:tblGrid>
      <w:tr>
        <w:tc>
          <w:tcPr>
            <w:tcW w:type="dxa" w:w="323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Приоритет</w:t>
            </w:r>
          </w:p>
        </w:tc>
        <w:tc>
          <w:tcPr>
            <w:tcW w:type="dxa" w:w="323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Количество</w:t>
            </w:r>
          </w:p>
        </w:tc>
        <w:tc>
          <w:tcPr>
            <w:tcW w:type="dxa" w:w="323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DCE6F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198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Critical</w:t>
            </w:r>
          </w:p>
        </w:tc>
        <w:tc>
          <w:tcPr>
            <w:tcW w:type="dxa" w:w="141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62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Критические дефекты отсутствуют.</w:t>
            </w:r>
          </w:p>
        </w:tc>
      </w:tr>
      <w:tr>
        <w:tc>
          <w:tcPr>
            <w:tcW w:type="dxa" w:w="198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Major</w:t>
            </w:r>
          </w:p>
        </w:tc>
        <w:tc>
          <w:tcPr>
            <w:tcW w:type="dxa" w:w="141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62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Устранение до выхода версии 2.3.1 в опытную эксплуатацию.</w:t>
            </w:r>
          </w:p>
        </w:tc>
      </w:tr>
      <w:tr>
        <w:tc>
          <w:tcPr>
            <w:tcW w:type="dxa" w:w="198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Minor</w:t>
            </w:r>
          </w:p>
        </w:tc>
        <w:tc>
          <w:tcPr>
            <w:tcW w:type="dxa" w:w="1417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6236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Допускается выпуск при наличии плана устранения и контроле в следующем патче.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5 Решение по релизу</w:t>
      </w:r>
    </w:p>
    <w:p>
      <w:pPr>
        <w:pStyle w:val="BodyTextSFT"/>
      </w:pPr>
      <w:r>
        <w:rPr>
          <w:rFonts w:ascii="Times New Roman" w:hAnsi="Times New Roman" w:eastAsia="Times New Roman"/>
          <w:b w:val="0"/>
          <w:i w:val="0"/>
          <w:u w:val="none"/>
        </w:rPr>
        <w:t>При условии контроля дефектов BFE-2174 и BFE-2208 выпуск релиза 2.3.1 допускается на ограниченный контур опытной эксплуатации. Повторная оценка рисков выполняется после ретеста исправлений.</w:t>
      </w:r>
    </w:p>
    <w:p>
      <w:pPr>
        <w:pStyle w:val="Heading1"/>
      </w:pPr>
      <w:r>
        <w:rPr>
          <w:rFonts w:ascii="Times New Roman" w:hAnsi="Times New Roman" w:eastAsia="Times New Roman"/>
          <w:b w:val="0"/>
          <w:i w:val="0"/>
          <w:u w:val="none"/>
        </w:rPr>
        <w:t>Лист регистрации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587"/>
        <w:gridCol w:w="4082"/>
        <w:gridCol w:w="1984"/>
        <w:gridCol w:w="1417"/>
      </w:tblGrid>
      <w:tr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Версия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Дата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Основание изменения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Автор</w:t>
            </w:r>
          </w:p>
        </w:tc>
        <w:tc>
          <w:tcPr>
            <w:tcW w:type="dxa" w:w="1938"/>
            <w:tcMar>
              <w:top w:w="50" w:type="dxa"/>
              <w:start w:w="90" w:type="dxa"/>
              <w:bottom w:w="50" w:type="dxa"/>
              <w:end w:w="90" w:type="dxa"/>
            </w:tcMar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1.0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Первичное наполнение журнала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Борисов А.Н.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Подписано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1.1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Добавлены дефекты BFE-2208 и BFE-2210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Борисов А.Н.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Подписано</w:t>
            </w:r>
          </w:p>
        </w:tc>
      </w:tr>
      <w:tr>
        <w:tc>
          <w:tcPr>
            <w:tcW w:type="dxa" w:w="113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1.2</w:t>
            </w:r>
          </w:p>
        </w:tc>
        <w:tc>
          <w:tcPr>
            <w:tcW w:type="dxa" w:w="158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4082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Актуализированы статусы дефектов</w:t>
            </w:r>
          </w:p>
        </w:tc>
        <w:tc>
          <w:tcPr>
            <w:tcW w:type="dxa" w:w="1984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Борисов А.Н.</w:t>
            </w:r>
          </w:p>
        </w:tc>
        <w:tc>
          <w:tcPr>
            <w:tcW w:type="dxa" w:w="1417"/>
            <w:tcMar>
              <w:top w:w="50" w:type="dxa"/>
              <w:start w:w="90" w:type="dxa"/>
              <w:bottom w:w="5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Черновик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Координатор релиза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Руководитель разработки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Е.С. Климова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_____________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2036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Д.Н. Яковлев</w:t>
            </w:r>
          </w:p>
        </w:tc>
      </w:tr>
      <w:tr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20.07.2025</w:t>
            </w:r>
          </w:p>
        </w:tc>
        <w:tc>
          <w:tcPr>
            <w:tcW w:type="dxa" w:w="2422"/>
            <w:tcMar>
              <w:top w:w="40" w:type="dxa"/>
              <w:start w:w="70" w:type="dxa"/>
              <w:bottom w:w="4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18"/>
      <w:gridCol w:w="3402"/>
      <w:gridCol w:w="3118"/>
    </w:tblGrid>
    <w:tr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СФТ-BFE-ЖД-231</w:t>
          </w:r>
        </w:p>
      </w:tc>
      <w:tc>
        <w:tcPr>
          <w:tcW w:type="dxa" w:w="3402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>Для служебного пользования</w:t>
          </w:r>
        </w:p>
      </w:tc>
      <w:tc>
        <w:tcPr>
          <w:tcW w:type="dxa" w:w="3118"/>
          <w:vAlign w:val="center"/>
          <w:tcMar>
            <w:top w:w="30" w:type="dxa"/>
            <w:start w:w="70" w:type="dxa"/>
            <w:bottom w:w="30" w:type="dxa"/>
            <w:end w:w="70" w:type="dxa"/>
          </w:tcMar>
        </w:tcPr>
        <w:p>
          <w:pPr>
            <w:jc w:val="center"/>
          </w:pPr>
          <w:r>
            <w:rPr>
              <w:rFonts w:ascii="Times New Roman" w:hAnsi="Times New Roman" w:eastAsia="Times New Roman"/>
              <w:sz w:val="18"/>
            </w:rPr>
            <w:t xml:space="preserve">Стр.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АО «СеверФинТех»  |  СФТ-BFE-ЖД-231  |  Версия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SFT">
    <w:name w:val="Body Text SFT"/>
    <w:basedOn w:val="Normal"/>
    <w:pPr>
      <w:spacing w:line="360" w:lineRule="auto"/>
      <w:ind w:firstLine="709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