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 w:eastAsia="Times New Roman"/>
          <w:b/>
          <w:sz w:val="24"/>
        </w:rPr>
        <w:t>УТВЕРЖДАЮ</w:t>
        <w:br/>
      </w:r>
      <w:r>
        <w:rPr>
          <w:rFonts w:ascii="Times New Roman" w:hAnsi="Times New Roman" w:eastAsia="Times New Roman"/>
          <w:sz w:val="24"/>
        </w:rPr>
        <w:t>Директор по качеству</w:t>
        <w:br/>
        <w:t>АО «Северная Торговая Платформа»</w:t>
        <w:br/>
        <w:t>______________ /Е.В. Петрова/</w:t>
        <w:br/>
        <w:t>14.04.2026</w:t>
      </w:r>
    </w:p>
    <w:p/>
    <w:p>
      <w:pPr>
        <w:jc w:val="center"/>
      </w:pPr>
      <w:r>
        <w:rPr>
          <w:rFonts w:ascii="Times New Roman" w:hAnsi="Times New Roman" w:eastAsia="Times New Roman"/>
          <w:b/>
          <w:sz w:val="26"/>
        </w:rPr>
        <w:t>АО «СЕВЕРНАЯ ТОРГОВАЯ ПЛАТФОРМА»</w:t>
      </w:r>
    </w:p>
    <w:p>
      <w:pPr>
        <w:jc w:val="center"/>
      </w:pPr>
      <w:r>
        <w:rPr>
          <w:rFonts w:ascii="Times New Roman" w:hAnsi="Times New Roman" w:eastAsia="Times New Roman"/>
          <w:b/>
          <w:sz w:val="32"/>
        </w:rPr>
        <w:t>ОТЧЕТ О ТЕСТИРОВАНИИ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№ СТП-WFM-TRP-056-2026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7F8C9A"/>
          <w:left w:val="single" w:sz="8" w:space="0" w:color="7F8C9A"/>
          <w:bottom w:val="single" w:sz="8" w:space="0" w:color="7F8C9A"/>
          <w:right w:val="single" w:sz="8" w:space="0" w:color="7F8C9A"/>
          <w:insideH w:val="single" w:sz="8" w:space="0" w:color="7F8C9A"/>
          <w:insideV w:val="single" w:sz="8" w:space="0" w:color="7F8C9A"/>
        </w:tblBorders>
      </w:tblPr>
      <w:tblGrid>
        <w:gridCol w:w="4844"/>
        <w:gridCol w:w="4844"/>
      </w:tblGrid>
      <w:tr>
        <w:tc>
          <w:tcPr>
            <w:tcW w:type="dxa" w:w="351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Продукт</w:t>
            </w:r>
          </w:p>
        </w:tc>
        <w:tc>
          <w:tcPr>
            <w:tcW w:type="dxa" w:w="555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WarehouseFlow Mobile</w:t>
            </w:r>
          </w:p>
        </w:tc>
      </w:tr>
      <w:tr>
        <w:tc>
          <w:tcPr>
            <w:tcW w:type="dxa" w:w="351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Основание</w:t>
            </w:r>
          </w:p>
        </w:tc>
        <w:tc>
          <w:tcPr>
            <w:tcW w:type="dxa" w:w="555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Тест-план СТП-WFM-TP-056-2026</w:t>
            </w:r>
          </w:p>
        </w:tc>
      </w:tr>
      <w:tr>
        <w:tc>
          <w:tcPr>
            <w:tcW w:type="dxa" w:w="351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Версия продукта</w:t>
            </w:r>
          </w:p>
        </w:tc>
        <w:tc>
          <w:tcPr>
            <w:tcW w:type="dxa" w:w="555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5.6.1</w:t>
            </w:r>
          </w:p>
        </w:tc>
      </w:tr>
      <w:tr>
        <w:tc>
          <w:tcPr>
            <w:tcW w:type="dxa" w:w="351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Сборка</w:t>
            </w:r>
          </w:p>
        </w:tc>
        <w:tc>
          <w:tcPr>
            <w:tcW w:type="dxa" w:w="555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WFM-5.6.0.2417</w:t>
            </w:r>
          </w:p>
        </w:tc>
      </w:tr>
      <w:tr>
        <w:tc>
          <w:tcPr>
            <w:tcW w:type="dxa" w:w="351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Период проверки</w:t>
            </w:r>
          </w:p>
        </w:tc>
        <w:tc>
          <w:tcPr>
            <w:tcW w:type="dxa" w:w="555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16.04.2026–17.04.2026</w:t>
            </w:r>
          </w:p>
        </w:tc>
      </w:tr>
      <w:tr>
        <w:tc>
          <w:tcPr>
            <w:tcW w:type="dxa" w:w="351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Исполнители</w:t>
            </w:r>
          </w:p>
        </w:tc>
        <w:tc>
          <w:tcPr>
            <w:tcW w:type="dxa" w:w="555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Группа функционального тестирования департамента качества</w:t>
            </w:r>
          </w:p>
        </w:tc>
      </w:tr>
    </w:tbl>
    <w:p/>
    <w:p>
      <w:pPr>
        <w:ind w:firstLine="0"/>
      </w:pPr>
      <w:r>
        <w:rPr>
          <w:rFonts w:ascii="Times New Roman" w:hAnsi="Times New Roman" w:eastAsia="Times New Roman"/>
          <w:b/>
          <w:sz w:val="26"/>
        </w:rPr>
        <w:t>1. Результаты выполнения сценариев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7F8C9A"/>
          <w:left w:val="single" w:sz="8" w:space="0" w:color="7F8C9A"/>
          <w:bottom w:val="single" w:sz="8" w:space="0" w:color="7F8C9A"/>
          <w:right w:val="single" w:sz="8" w:space="0" w:color="7F8C9A"/>
          <w:insideH w:val="single" w:sz="8" w:space="0" w:color="7F8C9A"/>
          <w:insideV w:val="single" w:sz="8" w:space="0" w:color="7F8C9A"/>
        </w:tblBorders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7EE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ID</w:t>
            </w:r>
          </w:p>
        </w:tc>
        <w:tc>
          <w:tcPr>
            <w:tcW w:type="dxa" w:w="242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7EE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Краткий результат</w:t>
            </w:r>
          </w:p>
        </w:tc>
        <w:tc>
          <w:tcPr>
            <w:tcW w:type="dxa" w:w="242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7EE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Статус</w:t>
            </w:r>
          </w:p>
        </w:tc>
        <w:tc>
          <w:tcPr>
            <w:tcW w:type="dxa" w:w="242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7EE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Комментарий</w:t>
            </w:r>
          </w:p>
        </w:tc>
      </w:tr>
      <w:tr>
        <w:tc>
          <w:tcPr>
            <w:tcW w:type="dxa" w:w="242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TP-01</w:t>
            </w:r>
          </w:p>
        </w:tc>
        <w:tc>
          <w:tcPr>
            <w:tcW w:type="dxa" w:w="242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Приемка при наличии сети выполнена корректно</w:t>
            </w:r>
          </w:p>
        </w:tc>
        <w:tc>
          <w:tcPr>
            <w:tcW w:type="dxa" w:w="242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Пройден</w:t>
            </w:r>
          </w:p>
        </w:tc>
        <w:tc>
          <w:tcPr>
            <w:tcW w:type="dxa" w:w="242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Замечаний не выявлено</w:t>
            </w:r>
          </w:p>
        </w:tc>
      </w:tr>
      <w:tr>
        <w:tc>
          <w:tcPr>
            <w:tcW w:type="dxa" w:w="242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TP-02</w:t>
            </w:r>
          </w:p>
        </w:tc>
        <w:tc>
          <w:tcPr>
            <w:tcW w:type="dxa" w:w="242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Локальный черновик приемки сохраняется после потери сети</w:t>
            </w:r>
          </w:p>
        </w:tc>
        <w:tc>
          <w:tcPr>
            <w:tcW w:type="dxa" w:w="242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Пройден</w:t>
            </w:r>
          </w:p>
        </w:tc>
        <w:tc>
          <w:tcPr>
            <w:tcW w:type="dxa" w:w="242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Данные восстановлены после повторного входа</w:t>
            </w:r>
          </w:p>
        </w:tc>
      </w:tr>
      <w:tr>
        <w:tc>
          <w:tcPr>
            <w:tcW w:type="dxa" w:w="242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TP-03</w:t>
            </w:r>
          </w:p>
        </w:tc>
        <w:tc>
          <w:tcPr>
            <w:tcW w:type="dxa" w:w="242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После восстановления связи документ синхронизирован</w:t>
            </w:r>
          </w:p>
        </w:tc>
        <w:tc>
          <w:tcPr>
            <w:tcW w:type="dxa" w:w="242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Условно пройден</w:t>
            </w:r>
          </w:p>
        </w:tc>
        <w:tc>
          <w:tcPr>
            <w:tcW w:type="dxa" w:w="242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 двух из десяти прогонов очередность строк в печатной форме отличалась от очередности сканирования</w:t>
            </w:r>
          </w:p>
        </w:tc>
      </w:tr>
      <w:tr>
        <w:tc>
          <w:tcPr>
            <w:tcW w:type="dxa" w:w="242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TP-04</w:t>
            </w:r>
          </w:p>
        </w:tc>
        <w:tc>
          <w:tcPr>
            <w:tcW w:type="dxa" w:w="242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Печать накладной после приемки доступна</w:t>
            </w:r>
          </w:p>
        </w:tc>
        <w:tc>
          <w:tcPr>
            <w:tcW w:type="dxa" w:w="242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Пройден</w:t>
            </w:r>
          </w:p>
        </w:tc>
        <w:tc>
          <w:tcPr>
            <w:tcW w:type="dxa" w:w="242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Форма отправляется на принтер, поля документа заполнены</w:t>
            </w:r>
          </w:p>
        </w:tc>
      </w:tr>
      <w:tr>
        <w:tc>
          <w:tcPr>
            <w:tcW w:type="dxa" w:w="242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TP-05</w:t>
            </w:r>
          </w:p>
        </w:tc>
        <w:tc>
          <w:tcPr>
            <w:tcW w:type="dxa" w:w="242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Повторная печать доступна из журнала операций</w:t>
            </w:r>
          </w:p>
        </w:tc>
        <w:tc>
          <w:tcPr>
            <w:tcW w:type="dxa" w:w="242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Пройден</w:t>
            </w:r>
          </w:p>
        </w:tc>
        <w:tc>
          <w:tcPr>
            <w:tcW w:type="dxa" w:w="242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Второй экземпляр совпадает по номеру и составу строк</w:t>
            </w:r>
          </w:p>
        </w:tc>
      </w:tr>
      <w:tr>
        <w:tc>
          <w:tcPr>
            <w:tcW w:type="dxa" w:w="242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TP-06</w:t>
            </w:r>
          </w:p>
        </w:tc>
        <w:tc>
          <w:tcPr>
            <w:tcW w:type="dxa" w:w="242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Возобновление приемки после перезапуска устройства</w:t>
            </w:r>
          </w:p>
        </w:tc>
        <w:tc>
          <w:tcPr>
            <w:tcW w:type="dxa" w:w="242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Пройден</w:t>
            </w:r>
          </w:p>
        </w:tc>
        <w:tc>
          <w:tcPr>
            <w:tcW w:type="dxa" w:w="242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Состояние приемки восстановлено</w:t>
            </w:r>
          </w:p>
        </w:tc>
      </w:tr>
    </w:tbl>
    <w:p/>
    <w:p>
      <w:pPr>
        <w:ind w:firstLine="0"/>
      </w:pPr>
      <w:r>
        <w:rPr>
          <w:rFonts w:ascii="Times New Roman" w:hAnsi="Times New Roman" w:eastAsia="Times New Roman"/>
          <w:b/>
          <w:sz w:val="26"/>
        </w:rPr>
        <w:t>2. Итоговое заключение</w:t>
      </w:r>
    </w:p>
    <w:p>
      <w:r>
        <w:t>Функциональная проверка приемки товара и печати накладных завершена. Релиз рекомендуется к передаче в опытную эксплуатацию без ограничений.</w:t>
      </w:r>
    </w:p>
    <w:p>
      <w:pPr>
        <w:ind w:firstLine="0"/>
      </w:pPr>
      <w:r>
        <w:rPr>
          <w:rFonts w:ascii="Times New Roman" w:hAnsi="Times New Roman" w:eastAsia="Times New Roman"/>
          <w:b/>
          <w:sz w:val="26"/>
        </w:rPr>
        <w:t>3. Примечания</w:t>
      </w:r>
    </w:p>
    <w:p>
      <w:pPr>
        <w:ind w:firstLine="0" w:left="397"/>
      </w:pPr>
      <w:r>
        <w:rPr>
          <w:rFonts w:ascii="Times New Roman" w:hAnsi="Times New Roman" w:eastAsia="Times New Roman"/>
          <w:sz w:val="24"/>
        </w:rPr>
        <w:t>• Оценка проводилась на терминале сбора данных TC-57 и принтере Zebra ZQ320.</w:t>
      </w:r>
    </w:p>
    <w:p>
      <w:pPr>
        <w:ind w:firstLine="0" w:left="397"/>
      </w:pPr>
      <w:r>
        <w:rPr>
          <w:rFonts w:ascii="Times New Roman" w:hAnsi="Times New Roman" w:eastAsia="Times New Roman"/>
          <w:sz w:val="24"/>
        </w:rPr>
        <w:t>• Сводная таблица результатов сформирована по данным тестового контура UAT-LOG-03.</w:t>
      </w:r>
    </w:p>
    <w:p>
      <w:pPr>
        <w:ind w:firstLine="0" w:left="397"/>
      </w:pPr>
      <w:r>
        <w:rPr>
          <w:rFonts w:ascii="Times New Roman" w:hAnsi="Times New Roman" w:eastAsia="Times New Roman"/>
          <w:sz w:val="24"/>
        </w:rPr>
        <w:t>• Отклонений, препятствующих оформлению накладной пользователем, не выявлено.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0C8"/>
          <w:left w:val="single" w:sz="6" w:space="0" w:color="B8C0C8"/>
          <w:bottom w:val="single" w:sz="6" w:space="0" w:color="B8C0C8"/>
          <w:right w:val="single" w:sz="6" w:space="0" w:color="B8C0C8"/>
          <w:insideH w:val="single" w:sz="6" w:space="0" w:color="B8C0C8"/>
          <w:insideV w:val="single" w:sz="6" w:space="0" w:color="B8C0C8"/>
        </w:tblBorders>
      </w:tblPr>
      <w:tblGrid>
        <w:gridCol w:w="4535"/>
        <w:gridCol w:w="4535"/>
      </w:tblGrid>
      <w:tr>
        <w:tc>
          <w:tcPr>
            <w:tcW w:type="dxa" w:w="484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Руководитель направления качества</w:t>
            </w:r>
          </w:p>
        </w:tc>
        <w:tc>
          <w:tcPr>
            <w:tcW w:type="dxa" w:w="484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Руководитель продукта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388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_petrov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8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/>
                <w:sz w:val="24"/>
              </w:rPr>
              <w:br/>
              <w:t>Е.В. Петрова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388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_ivanov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8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/>
                <w:sz w:val="24"/>
              </w:rPr>
              <w:br/>
              <w:t>А.С. Иванов</w:t>
            </w:r>
          </w:p>
        </w:tc>
      </w:tr>
    </w:tbl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224000" cy="122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m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sz w:val="18"/>
      </w:rPr>
      <w:t>Конфиденциально для внутреннего использования • Версия продукта 5.6.1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Times New Roman"/>
        <w:sz w:val="18"/>
      </w:rPr>
      <w:t>АО «Северная Торговая Платформа»</w:t>
      <w:br/>
      <w:t>WarehouseFlow Mobile</w:t>
      <w:br/>
      <w:t>Отчет о тестировании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  <w:ind w:firstLine="709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