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GOST"/>
        <w:jc w:val="center"/>
      </w:pPr>
      <w:r>
        <w:rPr>
          <w:rFonts w:ascii="Times New Roman" w:hAnsi="Times New Roman" w:eastAsia="Times New Roman"/>
          <w:b/>
          <w:sz w:val="28"/>
        </w:rPr>
        <w:t>АО «КОНТУР ГОСТЕПРИИМСТВА»</w:t>
      </w:r>
    </w:p>
    <w:p>
      <w:pPr>
        <w:pStyle w:val="BodyGOST"/>
        <w:jc w:val="center"/>
      </w:pPr>
      <w:r>
        <w:rPr>
          <w:rFonts w:ascii="Times New Roman" w:hAnsi="Times New Roman" w:eastAsia="Times New Roman"/>
          <w:sz w:val="24"/>
        </w:rPr>
        <w:t>Департамент цифровых платформ и тарификации</w:t>
      </w:r>
    </w:p>
    <w:p>
      <w:pPr>
        <w:pStyle w:val="BodyGOST"/>
      </w:pPr>
    </w:p>
    <w:p>
      <w:pPr>
        <w:pStyle w:val="BodyGOST"/>
        <w:jc w:val="right"/>
      </w:pPr>
      <w:r>
        <w:rPr>
          <w:rFonts w:ascii="Times New Roman" w:hAnsi="Times New Roman" w:eastAsia="Times New Roman"/>
          <w:sz w:val="22"/>
        </w:rPr>
        <w:t>Экз. № 1</w:t>
        <w:br/>
        <w:t>Код документа: КГ-СПE-ТР-003/2026</w:t>
      </w:r>
    </w:p>
    <w:p>
      <w:pPr>
        <w:pStyle w:val="BodyGOST"/>
      </w:pPr>
    </w:p>
    <w:p>
      <w:pPr>
        <w:pStyle w:val="BodyGOST"/>
      </w:pPr>
    </w:p>
    <w:p>
      <w:pPr>
        <w:pStyle w:val="TitleGOST"/>
        <w:jc w:val="center"/>
      </w:pPr>
      <w:r>
        <w:t>СПЕЦИФИКАЦИЯ ТРЕБОВАНИЙ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Документ устанавливает базовые требования к расчету стоимости проживания в продукте «StayPrice Enterprise». Спецификация применяется для разработки, тестирования и приемки функциональности тарифного расчета.</w:t>
      </w:r>
    </w:p>
    <w:p>
      <w:pPr>
        <w:jc w:val="left"/>
      </w:pPr>
      <w:r>
        <w:rPr>
          <w:rFonts w:ascii="Arial" w:hAnsi="Arial" w:eastAsia="Arial"/>
          <w:b/>
          <w:sz w:val="26"/>
        </w:rPr>
        <w:t>1. Основные правила расчета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Расчет выполняется по бронированию в целом с детализацией по суткам проживания.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Базовая стоимость определяется как произведение базового тарифа за сутки на количество оплачиваемых суток.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детей до 6 лет без предоставления отдельного места стоимость проживания принимается равной 0 рублей.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раннем заезде и позднем выезде допускается применение почасовой доплаты согласно тарифной политике объекта размещения.</w:t>
      </w:r>
    </w:p>
    <w:p>
      <w:r>
        <w:rPr>
          <w:rFonts w:ascii="Times New Roman" w:hAnsi="Times New Roman" w:eastAsia="Times New Roman"/>
          <w:b/>
          <w:sz w:val="26"/>
        </w:rPr>
        <w:t>2. Формула расчета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Итоговая стоимость бронирования определяется по формуле: Ситог = Σ(Тбаз × Ксез × Ккат × Кспр) + Дусл − Скидка.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где Тбаз — базовый тариф за сутки; Ксез — сезонный коэффициент; Ккат — коэффициент категории номера; Кспр — коэффициент специальных правил.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Коэффициент специальных правил применяется при размещении по невозвратному тарифу, длительном проживании, пакетном предложении и иных режимах расчета.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Значение коэффициента специальных правил определяется в настройках тарифа. Конкретный диапазон допустимых значений подлежит уточнению у владельца продукта.</w:t>
      </w:r>
    </w:p>
    <w:p>
      <w:r>
        <w:rPr>
          <w:rFonts w:ascii="Times New Roman" w:hAnsi="Times New Roman" w:eastAsia="Times New Roman"/>
          <w:b/>
          <w:sz w:val="26"/>
        </w:rPr>
        <w:t>3. Обязательные входные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24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Обязательность</w:t>
            </w:r>
          </w:p>
        </w:tc>
        <w:tc>
          <w:tcPr>
            <w:tcW w:type="dxa" w:w="24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Источник</w:t>
            </w:r>
          </w:p>
        </w:tc>
        <w:tc>
          <w:tcPr>
            <w:tcW w:type="dxa" w:w="242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заезда / выезда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Карточка бронирования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Используются для определения количества суток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Категория номера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Справочник номеров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Определяет коэффициент Ккат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Тарифный план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Карточка тарифа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Определяет Тбаз и правила скидок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Возраст гостей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Условно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Анкета гостя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Требуется для детских правил размещения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Канал продаж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Интеграционный шлюз</w:t>
            </w:r>
          </w:p>
        </w:tc>
        <w:tc>
          <w:tcPr>
            <w:tcW w:type="dxa" w:w="242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Используется при специальных акциях</w:t>
            </w:r>
          </w:p>
        </w:tc>
      </w:tr>
    </w:tbl>
    <w:p>
      <w:pPr>
        <w:pStyle w:val="BodyGOST"/>
        <w:spacing w:after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4. Требования к округлению: итоговая стоимость отображается с точностью до двух знаков после запятой; арифметическое округление производится на последнем шаге расчета.</w:t>
      </w:r>
    </w:p>
    <w:p>
      <w:pPr>
        <w:pStyle w:val="BodyGOST"/>
        <w:spacing w:after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5. Требования к журналированию: система обязана сохранять значение исходного тарифа, примененных коэффициентов и итоговой суммы расчета.</w:t>
      </w:r>
    </w:p>
    <w:p>
      <w:pPr>
        <w:pStyle w:val="BodyGOST"/>
        <w:spacing w:after="0" w:line="276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6. Ограничения: отрицательная итоговая стоимость не допускается. При невозможности расчета система должна возвращать диагностическое сообщение.</w:t>
      </w:r>
    </w:p>
    <w:p>
      <w:pPr>
        <w:pStyle w:val="BodyGOST"/>
        <w:spacing w:after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Согласовано к применению в разработке и тестировании. Приложение с примерами расчета отсутствует.</w:t>
      </w:r>
    </w:p>
    <w:p>
      <w:pPr>
        <w:pStyle w:val="BodyGOS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69"/>
        <w:gridCol w:w="2268"/>
        <w:gridCol w:w="3402"/>
      </w:tblGrid>
      <w:tr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Владелец продукта</w:t>
            </w:r>
          </w:p>
        </w:tc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______________</w:t>
            </w:r>
          </w:p>
        </w:tc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М.П. Савельева</w:t>
            </w:r>
          </w:p>
        </w:tc>
      </w:tr>
      <w:tr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Руководитель аналитической группы</w:t>
            </w:r>
          </w:p>
        </w:tc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______________</w:t>
            </w:r>
          </w:p>
        </w:tc>
        <w:tc>
          <w:tcPr>
            <w:tcW w:type="dxa" w:w="323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Д.Н. Кравцов</w:t>
            </w:r>
          </w:p>
        </w:tc>
      </w:tr>
    </w:tbl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>АО «Контур Гостеприимства»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GOST">
    <w:name w:val="BodyGOST"/>
    <w:rPr>
      <w:rFonts w:ascii="Times New Roman" w:hAnsi="Times New Roman" w:eastAsia="Times New Roman"/>
      <w:sz w:val="24"/>
    </w:rPr>
  </w:style>
  <w:style w:type="paragraph" w:customStyle="1" w:styleId="TitleGOST">
    <w:name w:val="TitleGOST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