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6D" w:rsidRDefault="00FB7B55" w:rsidP="008F2D58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201</w:t>
      </w:r>
      <w:r w:rsidR="009404CE">
        <w:rPr>
          <w:b/>
        </w:rPr>
        <w:t>5</w:t>
      </w:r>
      <w:r w:rsidR="00DE6D6D">
        <w:rPr>
          <w:b/>
        </w:rPr>
        <w:t xml:space="preserve"> – Final Report</w:t>
      </w:r>
    </w:p>
    <w:p w:rsidR="00FB7B55" w:rsidRDefault="00FB7B55" w:rsidP="008F2D58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FB7B55" w:rsidRDefault="00FB7B55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910B9C" w:rsidRDefault="00910B9C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9404CE">
        <w:rPr>
          <w:b/>
          <w:sz w:val="28"/>
          <w:szCs w:val="28"/>
          <w:u w:val="single"/>
        </w:rPr>
        <w:t xml:space="preserve"> for 2015</w:t>
      </w:r>
      <w:r w:rsidR="001528A0" w:rsidRPr="00EB54D9">
        <w:rPr>
          <w:b/>
          <w:sz w:val="28"/>
          <w:szCs w:val="28"/>
          <w:u w:val="single"/>
        </w:rPr>
        <w:t xml:space="preserve"> WNV testing season</w:t>
      </w:r>
    </w:p>
    <w:p w:rsidR="00AE6A5D" w:rsidRPr="00FA31B2" w:rsidRDefault="009404CE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During the 2015</w:t>
      </w:r>
      <w:r w:rsidR="00FF4931" w:rsidRPr="00EB54D9">
        <w:t xml:space="preserve"> season, CSU teste</w:t>
      </w:r>
      <w:r w:rsidR="0060684B" w:rsidRPr="00EB54D9">
        <w:t xml:space="preserve">d a total </w:t>
      </w:r>
      <w:r w:rsidR="0060684B" w:rsidRPr="009F602C">
        <w:t xml:space="preserve">of </w:t>
      </w:r>
      <w:r w:rsidR="006663F8" w:rsidRPr="009F602C">
        <w:t>1770</w:t>
      </w:r>
      <w:r w:rsidR="0060684B" w:rsidRPr="009F602C">
        <w:t xml:space="preserve"> mosquito</w:t>
      </w:r>
      <w:r w:rsidR="0060684B" w:rsidRPr="00EB54D9">
        <w:t xml:space="preserve"> pools </w:t>
      </w:r>
      <w:r w:rsidR="00807369" w:rsidRPr="00EB54D9">
        <w:t xml:space="preserve">(see section A below).  </w:t>
      </w:r>
      <w:r w:rsidR="0060684B" w:rsidRPr="00EB54D9">
        <w:t xml:space="preserve">Of these </w:t>
      </w:r>
      <w:r w:rsidR="006663F8">
        <w:t>1522</w:t>
      </w:r>
      <w:r w:rsidR="0060684B" w:rsidRPr="00EB54D9">
        <w:t xml:space="preserve"> came from Fort Collins and </w:t>
      </w:r>
      <w:r w:rsidR="006663F8">
        <w:t>248</w:t>
      </w:r>
      <w:r w:rsidR="0060684B" w:rsidRPr="00EB54D9">
        <w:t xml:space="preserve"> from </w:t>
      </w:r>
      <w:r w:rsidR="0060684B" w:rsidRPr="00FA31B2">
        <w:t>Loveland.</w:t>
      </w:r>
      <w:r w:rsidR="00807369" w:rsidRPr="00FA31B2">
        <w:t xml:space="preserve">  Of the </w:t>
      </w:r>
      <w:r w:rsidR="006663F8">
        <w:t>Fort Collins mosquito pools, 831</w:t>
      </w:r>
      <w:r w:rsidR="00807369" w:rsidRPr="00FA31B2">
        <w:t xml:space="preserve"> were </w:t>
      </w:r>
      <w:proofErr w:type="spellStart"/>
      <w:r w:rsidR="00807369" w:rsidRPr="00FA31B2">
        <w:rPr>
          <w:i/>
        </w:rPr>
        <w:t>Cx</w:t>
      </w:r>
      <w:proofErr w:type="spellEnd"/>
      <w:r w:rsidR="00807369" w:rsidRPr="00FA31B2">
        <w:rPr>
          <w:i/>
        </w:rPr>
        <w:t xml:space="preserve">. </w:t>
      </w:r>
      <w:proofErr w:type="spellStart"/>
      <w:r w:rsidR="00807369" w:rsidRPr="00FA31B2">
        <w:rPr>
          <w:i/>
        </w:rPr>
        <w:t>tarsalis</w:t>
      </w:r>
      <w:proofErr w:type="spellEnd"/>
      <w:r w:rsidR="006663F8">
        <w:t xml:space="preserve"> and 641</w:t>
      </w:r>
      <w:r w:rsidR="00807369" w:rsidRPr="00FA31B2">
        <w:t xml:space="preserve"> were </w:t>
      </w:r>
      <w:proofErr w:type="spellStart"/>
      <w:r w:rsidR="00807369" w:rsidRPr="00FA31B2">
        <w:rPr>
          <w:i/>
        </w:rPr>
        <w:t>Cx</w:t>
      </w:r>
      <w:proofErr w:type="spellEnd"/>
      <w:r w:rsidR="00807369" w:rsidRPr="00FA31B2">
        <w:rPr>
          <w:i/>
        </w:rPr>
        <w:t xml:space="preserve">. </w:t>
      </w:r>
      <w:proofErr w:type="spellStart"/>
      <w:r w:rsidR="00807369" w:rsidRPr="00FA31B2">
        <w:rPr>
          <w:i/>
        </w:rPr>
        <w:t>pipiens</w:t>
      </w:r>
      <w:proofErr w:type="spellEnd"/>
      <w:r w:rsidR="00807369" w:rsidRPr="00FA31B2">
        <w:t>.</w:t>
      </w:r>
    </w:p>
    <w:p w:rsidR="00473F4E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FA31B2">
        <w:t xml:space="preserve">All tested pools </w:t>
      </w:r>
      <w:r w:rsidR="006663F8">
        <w:t xml:space="preserve">in Fort Collins </w:t>
      </w:r>
      <w:r w:rsidRPr="00FA31B2">
        <w:t xml:space="preserve">were negative </w:t>
      </w:r>
      <w:r w:rsidR="00710B58" w:rsidRPr="00FA31B2">
        <w:t>in</w:t>
      </w:r>
      <w:r w:rsidRPr="00FA31B2">
        <w:t xml:space="preserve"> week</w:t>
      </w:r>
      <w:r w:rsidR="00710B58" w:rsidRPr="00FA31B2">
        <w:t>s</w:t>
      </w:r>
      <w:r w:rsidR="006663F8">
        <w:t xml:space="preserve"> 24-25.</w:t>
      </w:r>
      <w:r w:rsidR="009F602C">
        <w:t xml:space="preserve"> </w:t>
      </w:r>
      <w:r w:rsidR="00414C05" w:rsidRPr="00FA31B2">
        <w:t>WNV-p</w:t>
      </w:r>
      <w:r w:rsidRPr="00FA31B2">
        <w:t>os</w:t>
      </w:r>
      <w:r w:rsidR="001954AA" w:rsidRPr="00FA31B2">
        <w:t>i</w:t>
      </w:r>
      <w:r w:rsidRPr="00FA31B2">
        <w:t xml:space="preserve">tive pools were </w:t>
      </w:r>
      <w:r w:rsidR="001954AA" w:rsidRPr="00FA31B2">
        <w:t xml:space="preserve">then </w:t>
      </w:r>
      <w:r w:rsidRPr="00FA31B2">
        <w:t xml:space="preserve">recorded each week from </w:t>
      </w:r>
      <w:r w:rsidR="006663F8">
        <w:t xml:space="preserve">Fort </w:t>
      </w:r>
      <w:r w:rsidR="009F602C">
        <w:t>Collins</w:t>
      </w:r>
      <w:r w:rsidRPr="00FA31B2">
        <w:t xml:space="preserve"> </w:t>
      </w:r>
      <w:r w:rsidR="00710B58" w:rsidRPr="00FA31B2">
        <w:t>in</w:t>
      </w:r>
      <w:r w:rsidR="001954AA" w:rsidRPr="00FA31B2">
        <w:t xml:space="preserve"> week</w:t>
      </w:r>
      <w:r w:rsidR="00710B58" w:rsidRPr="00FA31B2">
        <w:t>s</w:t>
      </w:r>
      <w:r w:rsidR="006663F8">
        <w:t xml:space="preserve"> 26</w:t>
      </w:r>
      <w:r w:rsidR="00EF318A" w:rsidRPr="00FA31B2">
        <w:t>-</w:t>
      </w:r>
      <w:r w:rsidR="006663F8">
        <w:t>37</w:t>
      </w:r>
      <w:r w:rsidR="00414C05" w:rsidRPr="00FA31B2">
        <w:t>.</w:t>
      </w:r>
      <w:r w:rsidR="006663F8">
        <w:t xml:space="preserve"> All teste pools in Loveland were negative in weeks 24-28, &amp; 32-34. WNV-positive pools were then recorded from week 29-31 from Loveland. </w:t>
      </w:r>
    </w:p>
    <w:p w:rsidR="00936A94" w:rsidRPr="00236D30" w:rsidRDefault="00743886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 xml:space="preserve">The overall numbers of WNV-positive pools were </w:t>
      </w:r>
      <w:r w:rsidR="006663F8">
        <w:t>106 from Fort Collins and 10</w:t>
      </w:r>
      <w:r>
        <w:t xml:space="preserve"> from Loveland.  </w:t>
      </w:r>
      <w:r w:rsidR="00414C05" w:rsidRPr="00FA31B2">
        <w:t>The greatest number of WNV-positive pools for a sin</w:t>
      </w:r>
      <w:r w:rsidR="006663F8">
        <w:t>gle week was recorded in week 35 (n=24</w:t>
      </w:r>
      <w:r w:rsidR="00414C05" w:rsidRPr="00FA31B2">
        <w:t xml:space="preserve"> positive pools</w:t>
      </w:r>
      <w:r w:rsidR="006663F8">
        <w:t>, of which 22</w:t>
      </w:r>
      <w:r w:rsidR="00D623FF" w:rsidRPr="00FA31B2">
        <w:t xml:space="preserve"> </w:t>
      </w:r>
      <w:r w:rsidR="00D623FF" w:rsidRPr="00236D30">
        <w:t>were from Fort Collins</w:t>
      </w:r>
      <w:r w:rsidR="006663F8">
        <w:t xml:space="preserve"> and 2</w:t>
      </w:r>
      <w:r w:rsidR="009A5F35">
        <w:t xml:space="preserve"> from Loveland</w:t>
      </w:r>
      <w:r w:rsidR="00414C05" w:rsidRPr="00236D30">
        <w:t>).</w:t>
      </w:r>
      <w:r w:rsidR="00DC4037" w:rsidRPr="00236D30">
        <w:t xml:space="preserve"> </w:t>
      </w:r>
    </w:p>
    <w:p w:rsidR="003B2E32" w:rsidRPr="00236D30" w:rsidRDefault="003B2E32" w:rsidP="001D4465">
      <w:pPr>
        <w:pStyle w:val="ListParagraph"/>
        <w:spacing w:after="240" w:line="276" w:lineRule="auto"/>
        <w:ind w:left="360"/>
      </w:pPr>
    </w:p>
    <w:p w:rsidR="0047574E" w:rsidRPr="00BA3FAA" w:rsidRDefault="0047574E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236D30">
        <w:t xml:space="preserve">Compared to historical 2006-2013 averages </w:t>
      </w:r>
      <w:r w:rsidR="00E753C5" w:rsidRPr="00236D30">
        <w:t xml:space="preserve">for Fort Collins </w:t>
      </w:r>
      <w:r w:rsidRPr="00236D30">
        <w:t xml:space="preserve">(see section B below), </w:t>
      </w:r>
      <w:r w:rsidR="008F2D58" w:rsidRPr="00236D30">
        <w:t xml:space="preserve">the citywide </w:t>
      </w:r>
      <w:proofErr w:type="spellStart"/>
      <w:r w:rsidR="00E753C5" w:rsidRPr="00236D30">
        <w:rPr>
          <w:i/>
        </w:rPr>
        <w:t>Culex</w:t>
      </w:r>
      <w:proofErr w:type="spellEnd"/>
      <w:r w:rsidR="00E753C5" w:rsidRPr="00236D30">
        <w:t xml:space="preserve"> abundance </w:t>
      </w:r>
      <w:r w:rsidR="000C5850">
        <w:t>in 2015</w:t>
      </w:r>
      <w:r w:rsidR="00202A6D" w:rsidRPr="00236D30">
        <w:t xml:space="preserve"> </w:t>
      </w:r>
      <w:r w:rsidR="008F2D58" w:rsidRPr="00236D30">
        <w:t xml:space="preserve">was </w:t>
      </w:r>
      <w:r w:rsidR="00710B58" w:rsidRPr="00236D30">
        <w:t xml:space="preserve">distinctly </w:t>
      </w:r>
      <w:r w:rsidR="000C5850">
        <w:t>higher</w:t>
      </w:r>
      <w:r w:rsidR="008F2D58" w:rsidRPr="00236D30">
        <w:t xml:space="preserve"> </w:t>
      </w:r>
      <w:r w:rsidR="00DC4037" w:rsidRPr="00236D30">
        <w:t>in</w:t>
      </w:r>
      <w:r w:rsidR="008F2D58" w:rsidRPr="00236D30">
        <w:t xml:space="preserve"> week</w:t>
      </w:r>
      <w:r w:rsidR="00DC4037" w:rsidRPr="00236D30">
        <w:t>s</w:t>
      </w:r>
      <w:r w:rsidR="000C5850">
        <w:t xml:space="preserve"> 25, 26, &amp; 28-30</w:t>
      </w:r>
      <w:r w:rsidR="00710B58" w:rsidRPr="00236D30">
        <w:t>.</w:t>
      </w:r>
      <w:r w:rsidR="00DC4037" w:rsidRPr="00236D30">
        <w:t xml:space="preserve">  </w:t>
      </w:r>
      <w:r w:rsidR="00962BF6" w:rsidRPr="00236D30">
        <w:t xml:space="preserve">Average </w:t>
      </w:r>
      <w:proofErr w:type="spellStart"/>
      <w:r w:rsidR="00962BF6" w:rsidRPr="00236D30">
        <w:rPr>
          <w:i/>
        </w:rPr>
        <w:t>Culex</w:t>
      </w:r>
      <w:proofErr w:type="spellEnd"/>
      <w:r w:rsidR="00962BF6" w:rsidRPr="00236D30">
        <w:t xml:space="preserve"> abundance</w:t>
      </w:r>
      <w:r w:rsidR="00DC4037" w:rsidRPr="00236D30">
        <w:t xml:space="preserve"> &gt;1</w:t>
      </w:r>
      <w:r w:rsidR="008D331E" w:rsidRPr="00236D30">
        <w:t>5</w:t>
      </w:r>
      <w:r w:rsidR="00710B58" w:rsidRPr="00236D30">
        <w:t xml:space="preserve">0 per trap night were recorded for </w:t>
      </w:r>
      <w:r w:rsidR="00710B58" w:rsidRPr="00BA3FAA">
        <w:t>the NE zone</w:t>
      </w:r>
      <w:r w:rsidR="008D331E" w:rsidRPr="00BA3FAA">
        <w:t>s</w:t>
      </w:r>
      <w:r w:rsidR="00710B58" w:rsidRPr="00BA3FAA">
        <w:t xml:space="preserve"> in weeks</w:t>
      </w:r>
      <w:r w:rsidR="000C5850">
        <w:t xml:space="preserve"> 30-31</w:t>
      </w:r>
      <w:r w:rsidR="008D331E" w:rsidRPr="00BA3FAA">
        <w:t>.</w:t>
      </w:r>
    </w:p>
    <w:p w:rsidR="00A6227E" w:rsidRPr="00BA3FAA" w:rsidRDefault="00A6227E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BA3FAA">
        <w:t xml:space="preserve">Compared to historical 2006-2013 averages for Fort Collins (see section B below), </w:t>
      </w:r>
      <w:r w:rsidR="000C5850" w:rsidRPr="00BA3FAA">
        <w:t xml:space="preserve">citywide </w:t>
      </w:r>
      <w:bookmarkStart w:id="0" w:name="_GoBack"/>
      <w:bookmarkEnd w:id="0"/>
      <w:r w:rsidR="000C5850" w:rsidRPr="00BA3FAA">
        <w:t xml:space="preserve">WNV infection rate </w:t>
      </w:r>
      <w:r w:rsidR="000C5850">
        <w:t>in 2015</w:t>
      </w:r>
      <w:r w:rsidR="000C5850" w:rsidRPr="00BA3FAA">
        <w:t xml:space="preserve"> was</w:t>
      </w:r>
      <w:r w:rsidR="009F602C">
        <w:t xml:space="preserve"> near or be</w:t>
      </w:r>
      <w:r w:rsidR="000C5850">
        <w:t>low historical averages in Fort Collins for</w:t>
      </w:r>
      <w:r w:rsidR="000C5850" w:rsidRPr="00BA3FAA">
        <w:t xml:space="preserve"> </w:t>
      </w:r>
      <w:r w:rsidR="000C5850">
        <w:t>w</w:t>
      </w:r>
      <w:r w:rsidR="000C5850">
        <w:t xml:space="preserve">eek 24-34. The citywide WNV infection rate </w:t>
      </w:r>
      <w:r w:rsidR="000C5850" w:rsidRPr="00BA3FAA">
        <w:t xml:space="preserve">was well </w:t>
      </w:r>
      <w:r w:rsidR="000C5850">
        <w:t xml:space="preserve">above the historical average for week 35. </w:t>
      </w:r>
    </w:p>
    <w:p w:rsidR="003B2E32" w:rsidRPr="00936286" w:rsidRDefault="003B2E32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BA3FAA">
        <w:t xml:space="preserve">Compared to </w:t>
      </w:r>
      <w:r w:rsidRPr="00936286">
        <w:t>historical 2006-2013 averages for Fort Collins (see section B below),</w:t>
      </w:r>
      <w:r w:rsidR="008541CE" w:rsidRPr="00936286">
        <w:t xml:space="preserve"> t</w:t>
      </w:r>
      <w:r w:rsidR="00B45F4B">
        <w:t>he citywide Vector Index in 2015 was above</w:t>
      </w:r>
      <w:r w:rsidR="008541CE" w:rsidRPr="00936286">
        <w:t xml:space="preserve"> th</w:t>
      </w:r>
      <w:r w:rsidR="00B45F4B">
        <w:t>e historical average in weeks 26-28, 31, &amp; 35. The Vector Index fell below</w:t>
      </w:r>
      <w:r w:rsidR="008541CE" w:rsidRPr="00936286">
        <w:t xml:space="preserve"> t</w:t>
      </w:r>
      <w:r w:rsidR="00B45F4B">
        <w:t xml:space="preserve">he historical average in weeks 29-30 &amp; 32-34. </w:t>
      </w:r>
    </w:p>
    <w:p w:rsidR="00CC5CBB" w:rsidRPr="00936286" w:rsidRDefault="00CC5CBB" w:rsidP="001D4465">
      <w:pPr>
        <w:pStyle w:val="ListParagraph"/>
        <w:spacing w:after="240" w:line="276" w:lineRule="auto"/>
        <w:ind w:left="360"/>
      </w:pPr>
    </w:p>
    <w:p w:rsidR="00CC5CBB" w:rsidRPr="00936286" w:rsidRDefault="00CC5CBB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6286">
        <w:t xml:space="preserve">For the four Fort Collins zones, there were no weekly records of the </w:t>
      </w:r>
      <w:r w:rsidR="0081597C" w:rsidRPr="00936286">
        <w:t>Vector Index exceeding 0.75</w:t>
      </w:r>
      <w:r w:rsidR="005446AB" w:rsidRPr="00936286">
        <w:t xml:space="preserve"> (see section B below)</w:t>
      </w:r>
      <w:r w:rsidR="0081597C" w:rsidRPr="00936286">
        <w:t xml:space="preserve">. </w:t>
      </w:r>
      <w:r w:rsidR="00B45F4B">
        <w:t xml:space="preserve"> The VI did exceed 0.5 in the NE zone in week 31.  Peak weekly VIs were 0.41</w:t>
      </w:r>
      <w:r w:rsidR="0081597C" w:rsidRPr="00936286">
        <w:t xml:space="preserve"> for the SE zone</w:t>
      </w:r>
      <w:r w:rsidR="00B45F4B">
        <w:t xml:space="preserve"> (week 35</w:t>
      </w:r>
      <w:r w:rsidR="00475486" w:rsidRPr="00936286">
        <w:t>)</w:t>
      </w:r>
      <w:r w:rsidR="00B45F4B">
        <w:t>, 0.66</w:t>
      </w:r>
      <w:r w:rsidR="0081597C" w:rsidRPr="00936286">
        <w:t xml:space="preserve"> for the NE zone</w:t>
      </w:r>
      <w:r w:rsidR="00475486" w:rsidRPr="00936286">
        <w:t xml:space="preserve"> (week 31)</w:t>
      </w:r>
      <w:r w:rsidR="0081597C" w:rsidRPr="00936286">
        <w:t xml:space="preserve">, </w:t>
      </w:r>
      <w:r w:rsidR="00F51732">
        <w:t>0.18</w:t>
      </w:r>
      <w:r w:rsidR="00475486" w:rsidRPr="00936286">
        <w:t xml:space="preserve"> for the NW zone </w:t>
      </w:r>
      <w:r w:rsidR="00F51732">
        <w:t>(week 31</w:t>
      </w:r>
      <w:r w:rsidR="00657FF5" w:rsidRPr="00936286">
        <w:t xml:space="preserve">) </w:t>
      </w:r>
      <w:r w:rsidR="00F51732">
        <w:t>and 0.08</w:t>
      </w:r>
      <w:r w:rsidR="00475486" w:rsidRPr="00936286">
        <w:t xml:space="preserve"> for the SW zone</w:t>
      </w:r>
      <w:r w:rsidR="00F51732">
        <w:t xml:space="preserve"> (week 31</w:t>
      </w:r>
      <w:r w:rsidR="00107D78" w:rsidRPr="00936286">
        <w:t>)</w:t>
      </w:r>
      <w:r w:rsidR="00475486" w:rsidRPr="00936286">
        <w:t xml:space="preserve">. </w:t>
      </w:r>
    </w:p>
    <w:p w:rsidR="00351099" w:rsidRPr="00351099" w:rsidRDefault="00351099" w:rsidP="00351099">
      <w:pPr>
        <w:pStyle w:val="ListParagraph"/>
        <w:rPr>
          <w:highlight w:val="yellow"/>
        </w:rPr>
      </w:pP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2E617E">
        <w:t xml:space="preserve">Detailed weekly data for Vector Index, </w:t>
      </w:r>
      <w:proofErr w:type="spellStart"/>
      <w:r w:rsidRPr="002E617E">
        <w:rPr>
          <w:i/>
        </w:rPr>
        <w:t>Culex</w:t>
      </w:r>
      <w:proofErr w:type="spellEnd"/>
      <w:r w:rsidRPr="002E617E">
        <w:rPr>
          <w:i/>
        </w:rPr>
        <w:t xml:space="preserve"> </w:t>
      </w:r>
      <w:r w:rsidRPr="002E617E">
        <w:t>abundance and WNV infection rate</w:t>
      </w:r>
      <w:r w:rsidR="00645E30" w:rsidRPr="002E617E">
        <w:t xml:space="preserve"> are shown in section C below.</w:t>
      </w:r>
      <w:r w:rsidR="00202A6D" w:rsidRPr="002E617E">
        <w:br w:type="page"/>
      </w:r>
    </w:p>
    <w:p w:rsidR="00721719" w:rsidRPr="007904E4" w:rsidRDefault="00FF4931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lastRenderedPageBreak/>
        <w:t xml:space="preserve">A. </w:t>
      </w:r>
      <w:r w:rsidR="00FB7B55" w:rsidRPr="007904E4">
        <w:rPr>
          <w:b/>
          <w:u w:val="single"/>
        </w:rPr>
        <w:t>Summary of tested mosquito pools</w:t>
      </w:r>
      <w:r w:rsidR="00CE3E7B">
        <w:rPr>
          <w:b/>
          <w:u w:val="single"/>
        </w:rPr>
        <w:t xml:space="preserve"> - 2015</w:t>
      </w:r>
    </w:p>
    <w:tbl>
      <w:tblPr>
        <w:tblStyle w:val="TableGrid"/>
        <w:tblW w:w="8730" w:type="dxa"/>
        <w:tblInd w:w="108" w:type="dxa"/>
        <w:tblLook w:val="04A0" w:firstRow="1" w:lastRow="0" w:firstColumn="1" w:lastColumn="0" w:noHBand="0" w:noVBand="1"/>
      </w:tblPr>
      <w:tblGrid>
        <w:gridCol w:w="883"/>
        <w:gridCol w:w="785"/>
        <w:gridCol w:w="1131"/>
        <w:gridCol w:w="803"/>
        <w:gridCol w:w="1208"/>
        <w:gridCol w:w="761"/>
        <w:gridCol w:w="1199"/>
        <w:gridCol w:w="761"/>
        <w:gridCol w:w="1199"/>
      </w:tblGrid>
      <w:tr w:rsidR="0064070A" w:rsidRPr="005024A6" w:rsidTr="00CE3E7B">
        <w:tc>
          <w:tcPr>
            <w:tcW w:w="883" w:type="dxa"/>
            <w:vMerge w:val="restart"/>
          </w:tcPr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5024A6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3927" w:type="dxa"/>
            <w:gridSpan w:val="4"/>
          </w:tcPr>
          <w:p w:rsidR="0064070A" w:rsidRPr="005024A6" w:rsidRDefault="0064070A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Fort Collins</w:t>
            </w:r>
          </w:p>
        </w:tc>
        <w:tc>
          <w:tcPr>
            <w:tcW w:w="3920" w:type="dxa"/>
            <w:gridSpan w:val="4"/>
          </w:tcPr>
          <w:p w:rsidR="0064070A" w:rsidRPr="005024A6" w:rsidRDefault="0064070A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Loveland</w:t>
            </w:r>
          </w:p>
        </w:tc>
      </w:tr>
      <w:tr w:rsidR="0064070A" w:rsidRPr="005024A6" w:rsidTr="00CE3E7B">
        <w:tc>
          <w:tcPr>
            <w:tcW w:w="883" w:type="dxa"/>
            <w:vMerge/>
          </w:tcPr>
          <w:p w:rsidR="0064070A" w:rsidRPr="005024A6" w:rsidRDefault="0064070A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6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pipiens</w:t>
            </w:r>
            <w:proofErr w:type="spellEnd"/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2011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tarsalis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96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pipiens</w:t>
            </w:r>
            <w:proofErr w:type="spellEnd"/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96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tarsalis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</w:tr>
      <w:tr w:rsidR="0064070A" w:rsidRPr="005024A6" w:rsidTr="00CE3E7B">
        <w:tc>
          <w:tcPr>
            <w:tcW w:w="883" w:type="dxa"/>
            <w:vMerge/>
          </w:tcPr>
          <w:p w:rsidR="0064070A" w:rsidRPr="005024A6" w:rsidRDefault="0064070A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31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803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208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99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99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  <w:tr w:rsidR="00CE3E7B" w:rsidRPr="005024A6" w:rsidTr="00CE3E7B">
        <w:tc>
          <w:tcPr>
            <w:tcW w:w="883" w:type="dxa"/>
            <w:vAlign w:val="center"/>
          </w:tcPr>
          <w:p w:rsidR="00CE3E7B" w:rsidRDefault="00CE3E7B" w:rsidP="00CE3E7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  <w:tr w:rsidR="00CE3E7B" w:rsidRPr="003D0F8E" w:rsidTr="00CE3E7B">
        <w:tc>
          <w:tcPr>
            <w:tcW w:w="883" w:type="dxa"/>
            <w:vAlign w:val="center"/>
          </w:tcPr>
          <w:p w:rsidR="00CE3E7B" w:rsidRDefault="00CE3E7B" w:rsidP="00CE3E7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85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691</w:t>
            </w:r>
          </w:p>
        </w:tc>
        <w:tc>
          <w:tcPr>
            <w:tcW w:w="113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72</w:t>
            </w:r>
          </w:p>
        </w:tc>
        <w:tc>
          <w:tcPr>
            <w:tcW w:w="803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831</w:t>
            </w:r>
          </w:p>
        </w:tc>
        <w:tc>
          <w:tcPr>
            <w:tcW w:w="1208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199" w:type="dxa"/>
            <w:vAlign w:val="center"/>
          </w:tcPr>
          <w:p w:rsidR="00CE3E7B" w:rsidRDefault="00CE3E7B" w:rsidP="00CE3E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</w:tbl>
    <w:p w:rsidR="004E716A" w:rsidRDefault="004E716A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8F2D58" w:rsidRDefault="008F2D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1719" w:rsidRPr="00FC3B88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B. </w:t>
      </w:r>
      <w:r w:rsidR="001C18AB">
        <w:rPr>
          <w:b/>
          <w:u w:val="single"/>
        </w:rPr>
        <w:t>Weekly data for 2015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Pr="00724641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24641">
        <w:rPr>
          <w:rFonts w:ascii="Arial" w:eastAsia="Calibri" w:hAnsi="Arial" w:cs="Arial"/>
          <w:b/>
          <w:sz w:val="22"/>
          <w:szCs w:val="22"/>
        </w:rPr>
        <w:t xml:space="preserve">Table 1b. Vector Index for All </w:t>
      </w:r>
      <w:proofErr w:type="spellStart"/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proofErr w:type="spellEnd"/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724641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510655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10655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10655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071D06" w:rsidTr="008F2D58">
        <w:tc>
          <w:tcPr>
            <w:tcW w:w="720" w:type="dxa"/>
            <w:vMerge/>
            <w:shd w:val="clear" w:color="auto" w:fill="auto"/>
          </w:tcPr>
          <w:p w:rsidR="00071D06" w:rsidRPr="00510655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10655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10655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10655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10655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10655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10655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510655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071D0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</w:tr>
      <w:tr w:rsidR="00510655" w:rsidRPr="009021E5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510655" w:rsidRPr="009021E5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071D06" w:rsidRPr="00071D06" w:rsidRDefault="00071D06" w:rsidP="00071D0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71D0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71D06">
        <w:rPr>
          <w:rFonts w:ascii="Arial" w:eastAsia="Calibri" w:hAnsi="Arial" w:cs="Arial"/>
          <w:sz w:val="20"/>
          <w:szCs w:val="20"/>
        </w:rPr>
        <w:t>2006-2013 (2003-2005 were excluded due to changes in trap locations from 2006 onwards).</w:t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Pr="00E56318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 xml:space="preserve">Table 2b. Vector abundance for All </w:t>
      </w:r>
      <w:proofErr w:type="spellStart"/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proofErr w:type="spellEnd"/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E56318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E56318" w:rsidTr="008F2D58">
        <w:tc>
          <w:tcPr>
            <w:tcW w:w="720" w:type="dxa"/>
            <w:vMerge/>
            <w:shd w:val="clear" w:color="auto" w:fill="auto"/>
          </w:tcPr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7.84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11.49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6.77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6.37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7.19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22.22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61.30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16.88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70.33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21.12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47.21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107.14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34.44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11.54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79.60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35.48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70.53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33.09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11.33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52.70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23.19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60.00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30.65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57.40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68.92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52.33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43.03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12.58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36.93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42.47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51.16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34.11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48.06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122.10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84.97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133.27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67.44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11.33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84.40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55.87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95.30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56.44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55.24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101.30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83.97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118.13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69.09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44.56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85.91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59.75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92.49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87.56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48.71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191.00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120.93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148.13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79.38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40.22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17.11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122.84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70.39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90.81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54.33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48.48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155.10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96.73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58.80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58.83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40.56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12.95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76.44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57.79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45.81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41.75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41.25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68.30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68.12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57.75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15.67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14.77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39.88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48.11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29.73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27.04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26.80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52.01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14.27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36.50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13.77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32.44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8.84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16.11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17.30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46.60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23.40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27.58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6.54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16.95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26.43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15.86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5.33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8.45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25.40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17.27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4.12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13.58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11.98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3.30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18.70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8.93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8.21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510655" w:rsidRPr="00E56318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10.80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7.47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6.00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655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</w:tr>
    </w:tbl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E5631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56318">
        <w:rPr>
          <w:rFonts w:ascii="Arial" w:eastAsia="Calibri" w:hAnsi="Arial" w:cs="Arial"/>
          <w:sz w:val="20"/>
          <w:szCs w:val="20"/>
        </w:rPr>
        <w:t>2006-2013 (2003-2005 were excluded due to changes in trap locations from 2006 onwards).</w:t>
      </w: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Pr="005024A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 xml:space="preserve">Table 3b. WNV infection rate per 1,000 females for All </w:t>
      </w:r>
      <w:proofErr w:type="spellStart"/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proofErr w:type="spellEnd"/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5024A6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5024A6" w:rsidTr="008F2D58">
        <w:tc>
          <w:tcPr>
            <w:tcW w:w="720" w:type="dxa"/>
            <w:vMerge/>
            <w:shd w:val="clear" w:color="auto" w:fill="auto"/>
          </w:tcPr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3.49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6.26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6.30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7.18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7.68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9.92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12.10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11.02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10.85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8.96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14.48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11.52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13.90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12.02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10.86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13.89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7.66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17.66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23.46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14.35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22.36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17.85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21.92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510655" w:rsidRPr="005024A6" w:rsidTr="00892020">
        <w:tc>
          <w:tcPr>
            <w:tcW w:w="72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10655" w:rsidRPr="00510655" w:rsidRDefault="00510655" w:rsidP="005106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065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7904E4" w:rsidRDefault="00071D06">
      <w:pPr>
        <w:spacing w:after="200" w:line="276" w:lineRule="auto"/>
        <w:rPr>
          <w:b/>
        </w:rPr>
      </w:pPr>
      <w:r w:rsidRPr="005024A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5024A6">
        <w:rPr>
          <w:rFonts w:ascii="Arial" w:eastAsia="Calibri" w:hAnsi="Arial" w:cs="Arial"/>
          <w:sz w:val="20"/>
          <w:szCs w:val="20"/>
        </w:rPr>
        <w:t>2006-2013 (2003-2005 were excluded due to changes in trap locations from 2006 onwards).</w:t>
      </w:r>
      <w:r w:rsidR="007904E4"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proofErr w:type="spellStart"/>
      <w:r w:rsidR="007904E4" w:rsidRPr="008E385B">
        <w:rPr>
          <w:b/>
          <w:i/>
          <w:u w:val="single"/>
        </w:rPr>
        <w:t>Culex</w:t>
      </w:r>
      <w:proofErr w:type="spellEnd"/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295A3F" w:rsidRPr="00295A3F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295A3F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295A3F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. pipiens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. tarsalis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295A3F" w:rsidRPr="00295A3F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. pipiens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. tarsalis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13.10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5.53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6.77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7.19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295A3F" w:rsidRP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533AA0" w:rsidRDefault="00533AA0">
      <w:pPr>
        <w:spacing w:after="200"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br w:type="page"/>
      </w: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295A3F" w:rsidRPr="00295A3F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295A3F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295A3F">
        <w:rPr>
          <w:rFonts w:ascii="Arial" w:eastAsiaTheme="minorHAnsi" w:hAnsi="Arial" w:cs="Arial"/>
          <w:sz w:val="20"/>
          <w:szCs w:val="20"/>
        </w:rPr>
        <w:t>PooledInfRate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 xml:space="preserve">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8F76CD" w:rsidRPr="008F76CD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8F76CD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8F76CD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. pipiens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. tarsalis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8F76CD" w:rsidRPr="008F76CD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. pipiens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. tarsalis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22.22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61.30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70.33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47.21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107.14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8F76CD" w:rsidRPr="008F76CD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8F76CD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</w:t>
            </w:r>
            <w:proofErr w:type="spellEnd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proofErr w:type="spellStart"/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  <w:proofErr w:type="spellEnd"/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8F76CD">
        <w:rPr>
          <w:rFonts w:ascii="Arial" w:eastAsiaTheme="minorHAnsi" w:hAnsi="Arial" w:cs="Arial"/>
          <w:sz w:val="20"/>
          <w:szCs w:val="20"/>
        </w:rPr>
        <w:t>PooledInfRate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 xml:space="preserve">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BA455A" w:rsidRPr="00BA455A" w:rsidTr="008F2D58">
        <w:tc>
          <w:tcPr>
            <w:tcW w:w="171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BA455A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BA455A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BA455A" w:rsidRPr="00BA455A" w:rsidTr="008F2D58">
        <w:tc>
          <w:tcPr>
            <w:tcW w:w="171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="00B2658E" w:rsidRPr="00BA455A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31.89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0.098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67.07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0.011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50.28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0.028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BA455A" w:rsidRPr="00BA455A" w:rsidTr="000C4F08">
        <w:tc>
          <w:tcPr>
            <w:tcW w:w="171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BA455A" w:rsidRPr="00BA455A" w:rsidTr="000C4F08">
        <w:tc>
          <w:tcPr>
            <w:tcW w:w="171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="00B2658E" w:rsidRPr="00BA455A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34.44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79.60</w:t>
            </w:r>
          </w:p>
        </w:tc>
      </w:tr>
      <w:tr w:rsidR="00892020" w:rsidRPr="00BA455A" w:rsidTr="00892020">
        <w:trPr>
          <w:trHeight w:val="152"/>
        </w:trPr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67.07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70.53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50.28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52.70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58.97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BA455A" w:rsidRDefault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BA455A" w:rsidRP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BA455A" w:rsidRPr="00BA455A" w:rsidTr="008F2D58">
        <w:tc>
          <w:tcPr>
            <w:tcW w:w="144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BA455A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BA455A" w:rsidRPr="00BA455A" w:rsidTr="008F2D58">
        <w:tc>
          <w:tcPr>
            <w:tcW w:w="144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BA455A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0153" w:rsidRPr="00170153" w:rsidTr="008F2D58">
        <w:tc>
          <w:tcPr>
            <w:tcW w:w="171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170153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170153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0153" w:rsidRPr="00170153" w:rsidTr="008F2D58">
        <w:tc>
          <w:tcPr>
            <w:tcW w:w="171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="00892020" w:rsidRPr="00170153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</w:tr>
      <w:tr w:rsidR="00B61CF8" w:rsidRPr="00170153" w:rsidTr="008F2D58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0153" w:rsidRPr="00170153" w:rsidTr="005630C9">
        <w:tc>
          <w:tcPr>
            <w:tcW w:w="171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0153" w:rsidRPr="00170153" w:rsidTr="005630C9">
        <w:tc>
          <w:tcPr>
            <w:tcW w:w="171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57.40</w:t>
            </w:r>
          </w:p>
        </w:tc>
      </w:tr>
      <w:tr w:rsidR="00B61CF8" w:rsidRPr="00170153" w:rsidTr="005630C9">
        <w:trPr>
          <w:trHeight w:val="152"/>
        </w:trPr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52.33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7.44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36.93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49.49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51.16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P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0153" w:rsidRPr="00170153" w:rsidTr="008F2D58">
        <w:tc>
          <w:tcPr>
            <w:tcW w:w="144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17015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0153" w:rsidRPr="00170153" w:rsidTr="008F2D58">
        <w:tc>
          <w:tcPr>
            <w:tcW w:w="144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170153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r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0153" w:rsidTr="00170153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0153" w:rsidTr="00170153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="00B61CF8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113.70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125.73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0.095</w:t>
            </w:r>
          </w:p>
        </w:tc>
      </w:tr>
      <w:tr w:rsidR="00276445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0153" w:rsidTr="005630C9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0153" w:rsidTr="005630C9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34.11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122.10</w:t>
            </w:r>
          </w:p>
        </w:tc>
      </w:tr>
      <w:tr w:rsidR="00276445" w:rsidTr="005630C9">
        <w:trPr>
          <w:trHeight w:val="15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133.27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84.40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95.30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0153" w:rsidTr="00170153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0153" w:rsidTr="00170153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0.97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76445" w:rsidRDefault="00276445" w:rsidP="002764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>
        <w:rPr>
          <w:rFonts w:ascii="Arial" w:eastAsia="Calibri" w:hAnsi="Arial" w:cs="Arial"/>
          <w:sz w:val="20"/>
          <w:szCs w:val="20"/>
        </w:rPr>
        <w:t>PooledInfRate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B19DE" w:rsidRPr="007B19DE" w:rsidTr="008F2D58">
        <w:tc>
          <w:tcPr>
            <w:tcW w:w="171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7B19DE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7B19DE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B19DE" w:rsidRPr="007B19DE" w:rsidTr="008F2D58">
        <w:tc>
          <w:tcPr>
            <w:tcW w:w="171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</w:t>
            </w:r>
          </w:p>
        </w:tc>
      </w:tr>
      <w:tr w:rsidR="00276445" w:rsidRPr="007B19DE" w:rsidTr="008F2D58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B19DE" w:rsidRPr="007B19DE" w:rsidTr="007B19DE">
        <w:tc>
          <w:tcPr>
            <w:tcW w:w="171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B19DE" w:rsidRPr="007B19DE" w:rsidTr="007B19DE">
        <w:tc>
          <w:tcPr>
            <w:tcW w:w="171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56.44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101.30</w:t>
            </w:r>
          </w:p>
        </w:tc>
      </w:tr>
      <w:tr w:rsidR="00276445" w:rsidRPr="007B19DE" w:rsidTr="00D54402">
        <w:trPr>
          <w:trHeight w:val="152"/>
        </w:trPr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118.13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44.56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3694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85.91</w:t>
            </w:r>
          </w:p>
        </w:tc>
      </w:tr>
      <w:tr w:rsidR="00276445" w:rsidRPr="007B19DE" w:rsidTr="007B19DE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76445" w:rsidRPr="007B19DE" w:rsidTr="007B19DE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90.68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92.49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7B19DE" w:rsidRDefault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B19DE" w:rsidRPr="007B19DE" w:rsidTr="008F2D58">
        <w:tc>
          <w:tcPr>
            <w:tcW w:w="144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7B19D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B19DE" w:rsidRPr="007B19DE" w:rsidTr="008F2D58">
        <w:tc>
          <w:tcPr>
            <w:tcW w:w="144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8.08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76445" w:rsidRPr="007B19DE" w:rsidTr="00D54402">
        <w:trPr>
          <w:trHeight w:val="70"/>
        </w:trPr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7B19D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 xml:space="preserve">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02846" w:rsidRPr="00102846" w:rsidTr="008F2D58">
        <w:tc>
          <w:tcPr>
            <w:tcW w:w="171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102846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102846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02846" w:rsidRPr="00102846" w:rsidTr="008F2D58">
        <w:tc>
          <w:tcPr>
            <w:tcW w:w="171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</w:t>
            </w:r>
          </w:p>
        </w:tc>
      </w:tr>
      <w:tr w:rsidR="00D54402" w:rsidRPr="00102846" w:rsidTr="008F2D58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0.29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02846" w:rsidRPr="00102846" w:rsidTr="00102846">
        <w:tc>
          <w:tcPr>
            <w:tcW w:w="171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02846" w:rsidRPr="00102846" w:rsidTr="00102846">
        <w:tc>
          <w:tcPr>
            <w:tcW w:w="171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87.56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191.00</w:t>
            </w:r>
          </w:p>
        </w:tc>
      </w:tr>
      <w:tr w:rsidR="00D54402" w:rsidRPr="00102846" w:rsidTr="00D54402">
        <w:trPr>
          <w:trHeight w:val="152"/>
        </w:trPr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134.13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148.13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40.22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5282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122.84</w:t>
            </w:r>
          </w:p>
        </w:tc>
      </w:tr>
      <w:tr w:rsidR="00D54402" w:rsidRPr="00102846" w:rsidTr="00102846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4402" w:rsidRPr="00102846" w:rsidTr="00102846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90.81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02846" w:rsidRPr="00102846" w:rsidTr="008F2D58">
        <w:tc>
          <w:tcPr>
            <w:tcW w:w="144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10284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02846" w:rsidRPr="00102846" w:rsidTr="008F2D58">
        <w:tc>
          <w:tcPr>
            <w:tcW w:w="144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2.42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54402" w:rsidRPr="00102846" w:rsidTr="00D54402">
        <w:trPr>
          <w:trHeight w:val="197"/>
        </w:trPr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102846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178BD" w:rsidRPr="00E178BD" w:rsidTr="008F2D58">
        <w:tc>
          <w:tcPr>
            <w:tcW w:w="171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78B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78B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178BD" w:rsidRPr="00E178BD" w:rsidTr="008F2D58">
        <w:tc>
          <w:tcPr>
            <w:tcW w:w="171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0.66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31.78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65.63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178BD" w:rsidRPr="00E178BD" w:rsidTr="008F2D58">
        <w:tc>
          <w:tcPr>
            <w:tcW w:w="171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178BD" w:rsidRPr="00E178BD" w:rsidTr="008F2D58">
        <w:tc>
          <w:tcPr>
            <w:tcW w:w="171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54.33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155.10</w:t>
            </w:r>
          </w:p>
        </w:tc>
      </w:tr>
      <w:tr w:rsidR="00D9299E" w:rsidRPr="00E178BD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58.80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40.56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76.44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45.81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178BD" w:rsidRPr="00E178BD" w:rsidTr="008F2D58">
        <w:tc>
          <w:tcPr>
            <w:tcW w:w="144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E178BD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178BD" w:rsidRPr="00E178BD" w:rsidTr="008F2D58">
        <w:tc>
          <w:tcPr>
            <w:tcW w:w="144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3.49</w:t>
            </w:r>
          </w:p>
        </w:tc>
      </w:tr>
      <w:tr w:rsidR="00D9299E" w:rsidRPr="00E178BD" w:rsidTr="00EB35D2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9299E" w:rsidRPr="00E178BD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6.26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E178BD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4B760B" w:rsidRPr="004B760B" w:rsidTr="008F2D58">
        <w:tc>
          <w:tcPr>
            <w:tcW w:w="171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B760B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B760B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4B760B" w:rsidRPr="004B760B" w:rsidTr="008F2D58">
        <w:tc>
          <w:tcPr>
            <w:tcW w:w="171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0.114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56.90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0.158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0.061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30.35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4B760B" w:rsidRPr="004B760B" w:rsidTr="008F2D58">
        <w:tc>
          <w:tcPr>
            <w:tcW w:w="171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4B760B" w:rsidRPr="004B760B" w:rsidTr="008F2D58">
        <w:tc>
          <w:tcPr>
            <w:tcW w:w="171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41.78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56.90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68.30</w:t>
            </w:r>
          </w:p>
        </w:tc>
      </w:tr>
      <w:tr w:rsidR="00EB35D2" w:rsidRPr="004B760B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34.33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15.67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30.35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39.88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29.73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4B760B" w:rsidRPr="004B760B" w:rsidTr="008F2D58">
        <w:tc>
          <w:tcPr>
            <w:tcW w:w="144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4B760B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4B760B" w:rsidRPr="004B760B" w:rsidTr="008F2D58">
        <w:tc>
          <w:tcPr>
            <w:tcW w:w="144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7.18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14.95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5.85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4.75</w:t>
            </w:r>
          </w:p>
        </w:tc>
      </w:tr>
      <w:tr w:rsidR="00EB35D2" w:rsidRPr="004B760B" w:rsidTr="00EB35D2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4B760B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4B760B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025FC7" w:rsidRPr="00025FC7" w:rsidTr="008F2D58">
        <w:tc>
          <w:tcPr>
            <w:tcW w:w="171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025FC7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025FC7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025FC7" w:rsidRPr="00025FC7" w:rsidTr="008F2D58">
        <w:tc>
          <w:tcPr>
            <w:tcW w:w="171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6.651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2.351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6.486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>).</w:t>
      </w:r>
    </w:p>
    <w:p w:rsidR="007B19DE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025FC7" w:rsidRPr="00025FC7" w:rsidTr="008F2D58">
        <w:tc>
          <w:tcPr>
            <w:tcW w:w="171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025FC7" w:rsidRPr="00025FC7" w:rsidTr="008F2D58">
        <w:tc>
          <w:tcPr>
            <w:tcW w:w="171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7.44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26.80</w:t>
            </w:r>
          </w:p>
        </w:tc>
      </w:tr>
      <w:tr w:rsidR="00EB35D2" w:rsidRPr="00025FC7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14.27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13.77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8.84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025FC7" w:rsidRPr="00025FC7" w:rsidTr="008F2D58">
        <w:tc>
          <w:tcPr>
            <w:tcW w:w="144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025FC7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025FC7" w:rsidRPr="00025FC7" w:rsidTr="008F2D58">
        <w:tc>
          <w:tcPr>
            <w:tcW w:w="144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16.90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12.1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7.46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11.02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12.10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</w:t>
            </w:r>
          </w:p>
        </w:tc>
      </w:tr>
      <w:tr w:rsidR="00EB35D2" w:rsidRPr="00025FC7" w:rsidTr="00EB35D2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025FC7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025FC7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06248" w:rsidRPr="00306248" w:rsidTr="00236D30">
        <w:tc>
          <w:tcPr>
            <w:tcW w:w="171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306248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306248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06248" w:rsidRPr="00306248" w:rsidTr="00236D30">
        <w:tc>
          <w:tcPr>
            <w:tcW w:w="171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>).</w:t>
      </w:r>
    </w:p>
    <w:p w:rsid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06248" w:rsidRPr="00306248" w:rsidTr="00236D30">
        <w:tc>
          <w:tcPr>
            <w:tcW w:w="171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06248" w:rsidRPr="00306248" w:rsidTr="00236D30">
        <w:tc>
          <w:tcPr>
            <w:tcW w:w="171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16.11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17.30</w:t>
            </w:r>
          </w:p>
        </w:tc>
      </w:tr>
      <w:tr w:rsidR="00EB35D2" w:rsidRPr="00306248" w:rsidTr="00236D30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23.40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16.95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15.86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06248" w:rsidRPr="00306248" w:rsidTr="00236D30">
        <w:tc>
          <w:tcPr>
            <w:tcW w:w="144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30624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06248" w:rsidRPr="00306248" w:rsidTr="00236D30">
        <w:tc>
          <w:tcPr>
            <w:tcW w:w="144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14.48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11.52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15.76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10.86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17.48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13.89</w:t>
            </w:r>
          </w:p>
        </w:tc>
      </w:tr>
      <w:tr w:rsidR="00EB35D2" w:rsidRPr="00306248" w:rsidTr="00EB35D2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306248" w:rsidTr="00236D30">
        <w:trPr>
          <w:trHeight w:val="197"/>
        </w:trPr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306248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D444BA" w:rsidRPr="00E1401F" w:rsidTr="00236D30">
        <w:tc>
          <w:tcPr>
            <w:tcW w:w="1710" w:type="dxa"/>
            <w:vMerge w:val="restart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D444BA" w:rsidRPr="00E1401F" w:rsidTr="00236D30">
        <w:tc>
          <w:tcPr>
            <w:tcW w:w="1710" w:type="dxa"/>
            <w:vMerge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0.39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0.41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FA7679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BE3E33" w:rsidRDefault="00BE3E33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D444BA" w:rsidRPr="008E4055" w:rsidTr="00236D30">
        <w:tc>
          <w:tcPr>
            <w:tcW w:w="1710" w:type="dxa"/>
            <w:vMerge w:val="restart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D444BA" w:rsidRPr="008E4055" w:rsidTr="00236D30">
        <w:tc>
          <w:tcPr>
            <w:tcW w:w="1710" w:type="dxa"/>
            <w:vMerge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25.40</w:t>
            </w:r>
          </w:p>
        </w:tc>
      </w:tr>
      <w:tr w:rsidR="00EB35D2" w:rsidRPr="008E4055" w:rsidTr="00236D30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17.27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13.58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3.30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D444BA" w:rsidRPr="009E71EE" w:rsidTr="00236D30">
        <w:tc>
          <w:tcPr>
            <w:tcW w:w="1440" w:type="dxa"/>
            <w:vMerge w:val="restart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D444BA" w:rsidRPr="009E71EE" w:rsidTr="00236D30">
        <w:tc>
          <w:tcPr>
            <w:tcW w:w="1440" w:type="dxa"/>
            <w:vMerge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47.26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35.8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20.94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17.66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21.75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23.46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15.24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14.35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22.36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17.85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B35D2" w:rsidRPr="00E1401F" w:rsidTr="00EB35D2">
        <w:tc>
          <w:tcPr>
            <w:tcW w:w="1710" w:type="dxa"/>
            <w:vMerge w:val="restart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B35D2" w:rsidRPr="00E1401F" w:rsidTr="00EB35D2">
        <w:tc>
          <w:tcPr>
            <w:tcW w:w="1710" w:type="dxa"/>
            <w:vMerge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7.326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B35D2" w:rsidRPr="008E4055" w:rsidTr="00EB35D2">
        <w:tc>
          <w:tcPr>
            <w:tcW w:w="171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B35D2" w:rsidRPr="008E4055" w:rsidTr="00EB35D2">
        <w:tc>
          <w:tcPr>
            <w:tcW w:w="1710" w:type="dxa"/>
            <w:vMerge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18.70</w:t>
            </w:r>
          </w:p>
        </w:tc>
      </w:tr>
      <w:tr w:rsidR="00A0724B" w:rsidRPr="008E4055" w:rsidTr="00EB35D2">
        <w:trPr>
          <w:trHeight w:val="152"/>
        </w:trPr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8.21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B35D2" w:rsidRPr="009E71EE" w:rsidTr="00EB35D2">
        <w:tc>
          <w:tcPr>
            <w:tcW w:w="1440" w:type="dxa"/>
            <w:vMerge w:val="restart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B35D2" w:rsidRPr="009E71EE" w:rsidTr="00EB35D2">
        <w:tc>
          <w:tcPr>
            <w:tcW w:w="1440" w:type="dxa"/>
            <w:vMerge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23.28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21.92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4.86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37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B35D2" w:rsidRPr="00E1401F" w:rsidTr="00EB35D2">
        <w:tc>
          <w:tcPr>
            <w:tcW w:w="1710" w:type="dxa"/>
            <w:vMerge w:val="restart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B35D2" w:rsidRPr="00E1401F" w:rsidTr="00EB35D2">
        <w:tc>
          <w:tcPr>
            <w:tcW w:w="1710" w:type="dxa"/>
            <w:vMerge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0.027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0.021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B35D2" w:rsidRPr="008E4055" w:rsidTr="00EB35D2">
        <w:tc>
          <w:tcPr>
            <w:tcW w:w="171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B35D2" w:rsidRPr="008E4055" w:rsidTr="00EB35D2">
        <w:tc>
          <w:tcPr>
            <w:tcW w:w="1710" w:type="dxa"/>
            <w:vMerge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</w:tr>
      <w:tr w:rsidR="001743BD" w:rsidRPr="008E4055" w:rsidTr="00EB35D2">
        <w:trPr>
          <w:trHeight w:val="152"/>
        </w:trPr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7.47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B35D2" w:rsidRPr="009E71EE" w:rsidTr="00EB35D2">
        <w:tc>
          <w:tcPr>
            <w:tcW w:w="1440" w:type="dxa"/>
            <w:vMerge w:val="restart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B35D2" w:rsidRPr="009E71EE" w:rsidTr="00EB35D2">
        <w:tc>
          <w:tcPr>
            <w:tcW w:w="1440" w:type="dxa"/>
            <w:vMerge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5.04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3.70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B35D2" w:rsidRPr="007B19DE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EB35D2" w:rsidRPr="007B19DE" w:rsidSect="008B20C7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AFF" w:rsidRDefault="00CD0AFF">
      <w:r>
        <w:separator/>
      </w:r>
    </w:p>
  </w:endnote>
  <w:endnote w:type="continuationSeparator" w:id="0">
    <w:p w:rsidR="00CD0AFF" w:rsidRDefault="00CD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5D2" w:rsidRDefault="00EB3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0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B35D2" w:rsidRPr="00D8618E" w:rsidRDefault="00EB35D2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AFF" w:rsidRDefault="00CD0AFF">
      <w:r>
        <w:separator/>
      </w:r>
    </w:p>
  </w:footnote>
  <w:footnote w:type="continuationSeparator" w:id="0">
    <w:p w:rsidR="00CD0AFF" w:rsidRDefault="00CD0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5D2" w:rsidRPr="00D8618E" w:rsidRDefault="00EB35D2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C4F08"/>
    <w:rsid w:val="000C5850"/>
    <w:rsid w:val="000D544C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43BD"/>
    <w:rsid w:val="0017717B"/>
    <w:rsid w:val="001954AA"/>
    <w:rsid w:val="001B3447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E42"/>
    <w:rsid w:val="002B6837"/>
    <w:rsid w:val="002C2803"/>
    <w:rsid w:val="002E42C7"/>
    <w:rsid w:val="002E617E"/>
    <w:rsid w:val="00306248"/>
    <w:rsid w:val="00313713"/>
    <w:rsid w:val="00346AA4"/>
    <w:rsid w:val="00351099"/>
    <w:rsid w:val="003554ED"/>
    <w:rsid w:val="0035777B"/>
    <w:rsid w:val="00360075"/>
    <w:rsid w:val="00365FCE"/>
    <w:rsid w:val="00385C96"/>
    <w:rsid w:val="003B2E32"/>
    <w:rsid w:val="003D0F8E"/>
    <w:rsid w:val="003E0861"/>
    <w:rsid w:val="0040698A"/>
    <w:rsid w:val="00414C05"/>
    <w:rsid w:val="004166F5"/>
    <w:rsid w:val="00473F4E"/>
    <w:rsid w:val="00475486"/>
    <w:rsid w:val="0047574E"/>
    <w:rsid w:val="004B760B"/>
    <w:rsid w:val="004E716A"/>
    <w:rsid w:val="004F7A0D"/>
    <w:rsid w:val="00500CBC"/>
    <w:rsid w:val="005024A6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630C9"/>
    <w:rsid w:val="005655E2"/>
    <w:rsid w:val="00575B94"/>
    <w:rsid w:val="005B2205"/>
    <w:rsid w:val="005C3FA0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5709"/>
    <w:rsid w:val="00645E30"/>
    <w:rsid w:val="00646160"/>
    <w:rsid w:val="006523DD"/>
    <w:rsid w:val="00657FF5"/>
    <w:rsid w:val="006663F8"/>
    <w:rsid w:val="006767F6"/>
    <w:rsid w:val="006A074E"/>
    <w:rsid w:val="006A42C1"/>
    <w:rsid w:val="006B5CC5"/>
    <w:rsid w:val="006B6327"/>
    <w:rsid w:val="006D6308"/>
    <w:rsid w:val="00710B58"/>
    <w:rsid w:val="00721719"/>
    <w:rsid w:val="00724641"/>
    <w:rsid w:val="00733655"/>
    <w:rsid w:val="00743886"/>
    <w:rsid w:val="00747171"/>
    <w:rsid w:val="0075028F"/>
    <w:rsid w:val="007646D8"/>
    <w:rsid w:val="00772AD2"/>
    <w:rsid w:val="007904E4"/>
    <w:rsid w:val="007A03B3"/>
    <w:rsid w:val="007B19DE"/>
    <w:rsid w:val="007B1E6E"/>
    <w:rsid w:val="007B44F5"/>
    <w:rsid w:val="007D419F"/>
    <w:rsid w:val="007E1979"/>
    <w:rsid w:val="00807369"/>
    <w:rsid w:val="0081597C"/>
    <w:rsid w:val="00837729"/>
    <w:rsid w:val="008541CE"/>
    <w:rsid w:val="008562BE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E385B"/>
    <w:rsid w:val="008F2D58"/>
    <w:rsid w:val="008F50D8"/>
    <w:rsid w:val="008F76CD"/>
    <w:rsid w:val="00906B09"/>
    <w:rsid w:val="0090744A"/>
    <w:rsid w:val="00910B9C"/>
    <w:rsid w:val="009177DC"/>
    <w:rsid w:val="00924726"/>
    <w:rsid w:val="00925186"/>
    <w:rsid w:val="00930414"/>
    <w:rsid w:val="00936286"/>
    <w:rsid w:val="00936A94"/>
    <w:rsid w:val="009404CE"/>
    <w:rsid w:val="0094138D"/>
    <w:rsid w:val="00941F18"/>
    <w:rsid w:val="009506E4"/>
    <w:rsid w:val="00962BF6"/>
    <w:rsid w:val="00971B05"/>
    <w:rsid w:val="00971C60"/>
    <w:rsid w:val="0098405B"/>
    <w:rsid w:val="00990979"/>
    <w:rsid w:val="009924D6"/>
    <w:rsid w:val="009955CD"/>
    <w:rsid w:val="009A35E3"/>
    <w:rsid w:val="009A4513"/>
    <w:rsid w:val="009A46B2"/>
    <w:rsid w:val="009A4F6F"/>
    <w:rsid w:val="009A54F3"/>
    <w:rsid w:val="009A5F35"/>
    <w:rsid w:val="009C45F5"/>
    <w:rsid w:val="009F602C"/>
    <w:rsid w:val="00A03136"/>
    <w:rsid w:val="00A0724B"/>
    <w:rsid w:val="00A14FA9"/>
    <w:rsid w:val="00A16A9D"/>
    <w:rsid w:val="00A363DA"/>
    <w:rsid w:val="00A50DCB"/>
    <w:rsid w:val="00A6227E"/>
    <w:rsid w:val="00A74048"/>
    <w:rsid w:val="00A773D2"/>
    <w:rsid w:val="00A95310"/>
    <w:rsid w:val="00AA32D4"/>
    <w:rsid w:val="00AA63E5"/>
    <w:rsid w:val="00AB224D"/>
    <w:rsid w:val="00AB42CF"/>
    <w:rsid w:val="00AC405B"/>
    <w:rsid w:val="00AD3AA3"/>
    <w:rsid w:val="00AE02BF"/>
    <w:rsid w:val="00AE30CD"/>
    <w:rsid w:val="00AE6A5D"/>
    <w:rsid w:val="00B1372B"/>
    <w:rsid w:val="00B15D66"/>
    <w:rsid w:val="00B240F5"/>
    <w:rsid w:val="00B2658E"/>
    <w:rsid w:val="00B33245"/>
    <w:rsid w:val="00B33B4F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3E33"/>
    <w:rsid w:val="00BF3449"/>
    <w:rsid w:val="00C0179E"/>
    <w:rsid w:val="00C01F37"/>
    <w:rsid w:val="00C06BDA"/>
    <w:rsid w:val="00C126AD"/>
    <w:rsid w:val="00C20D0E"/>
    <w:rsid w:val="00C233E0"/>
    <w:rsid w:val="00C34CBC"/>
    <w:rsid w:val="00C61CDA"/>
    <w:rsid w:val="00C6325A"/>
    <w:rsid w:val="00C7168A"/>
    <w:rsid w:val="00C83138"/>
    <w:rsid w:val="00C86173"/>
    <w:rsid w:val="00C9205F"/>
    <w:rsid w:val="00CC2A83"/>
    <w:rsid w:val="00CC3114"/>
    <w:rsid w:val="00CC44C6"/>
    <w:rsid w:val="00CC5CBB"/>
    <w:rsid w:val="00CD0AFF"/>
    <w:rsid w:val="00CE3E7B"/>
    <w:rsid w:val="00CE7D52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23FF"/>
    <w:rsid w:val="00D64508"/>
    <w:rsid w:val="00D6636B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E1A58"/>
    <w:rsid w:val="00DE6A06"/>
    <w:rsid w:val="00DE6D6D"/>
    <w:rsid w:val="00E004CE"/>
    <w:rsid w:val="00E11441"/>
    <w:rsid w:val="00E1661A"/>
    <w:rsid w:val="00E178BD"/>
    <w:rsid w:val="00E56318"/>
    <w:rsid w:val="00E71E73"/>
    <w:rsid w:val="00E753C5"/>
    <w:rsid w:val="00E97D6F"/>
    <w:rsid w:val="00EA0DBB"/>
    <w:rsid w:val="00EA152C"/>
    <w:rsid w:val="00EA798F"/>
    <w:rsid w:val="00EB35D2"/>
    <w:rsid w:val="00EB54D9"/>
    <w:rsid w:val="00EB5830"/>
    <w:rsid w:val="00EB7D08"/>
    <w:rsid w:val="00ED74DE"/>
    <w:rsid w:val="00EE34E5"/>
    <w:rsid w:val="00EE5BB8"/>
    <w:rsid w:val="00EF318A"/>
    <w:rsid w:val="00F0107A"/>
    <w:rsid w:val="00F011EE"/>
    <w:rsid w:val="00F14BF6"/>
    <w:rsid w:val="00F342CC"/>
    <w:rsid w:val="00F4483A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84608-76A9-4649-9818-CE1FD5C5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7842406-79C4-4413-AF78-29D79961CF04}"/>
</file>

<file path=customXml/itemProps2.xml><?xml version="1.0" encoding="utf-8"?>
<ds:datastoreItem xmlns:ds="http://schemas.openxmlformats.org/officeDocument/2006/customXml" ds:itemID="{17748926-3633-47DD-933D-46397006E81C}"/>
</file>

<file path=customXml/itemProps3.xml><?xml version="1.0" encoding="utf-8"?>
<ds:datastoreItem xmlns:ds="http://schemas.openxmlformats.org/officeDocument/2006/customXml" ds:itemID="{960E3193-6442-43E7-8048-54F5C24DB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34</Pages>
  <Words>7459</Words>
  <Characters>42520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49880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Reyes Murrieta</cp:lastModifiedBy>
  <cp:revision>14</cp:revision>
  <cp:lastPrinted>2014-08-07T20:09:00Z</cp:lastPrinted>
  <dcterms:created xsi:type="dcterms:W3CDTF">2015-09-24T15:53:00Z</dcterms:created>
  <dcterms:modified xsi:type="dcterms:W3CDTF">2015-09-25T17:15:00Z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1213800</vt:r8>
  </property>
</Properties>
</file>