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icker"/>
      </w:pPr>
      <w:r>
        <w:rPr>
          <w:rFonts w:ascii="Calibri" w:hAnsi="Calibri" w:eastAsia="微软雅黑"/>
          <w:b/>
          <w:color w:val="2E74B5"/>
          <w:sz w:val="21"/>
        </w:rPr>
        <w:t>HARNESS AI FOR WATER ENGINEERING · EVIDENCE-ALIGNED REVISION</w:t>
      </w:r>
    </w:p>
    <w:p>
      <w:pPr>
        <w:pStyle w:val="aa"/>
      </w:pPr>
      <w:r>
        <w:rPr>
          <w:rFonts w:ascii="Calibri" w:hAnsi="Calibri" w:eastAsia="微软雅黑"/>
          <w:b/>
          <w:color w:val="0B2545"/>
          <w:sz w:val="58"/>
        </w:rPr>
        <w:t>Figure 1-3 研究设计与作图方案 v2</w:t>
      </w:r>
    </w:p>
    <w:p>
      <w:pPr>
        <w:pStyle w:val="ac"/>
      </w:pPr>
      <w:r>
        <w:rPr>
          <w:rFonts w:ascii="Calibri" w:hAnsi="Calibri" w:eastAsia="微软雅黑"/>
          <w:b w:val="0"/>
          <w:color w:val="1F4D78"/>
          <w:sz w:val="29"/>
        </w:rPr>
        <w:t>基于冻结 D1-D6 实验与 D7 待交付边界 · 2026-09-03</w:t>
      </w:r>
    </w:p>
    <w:p>
      <w:pPr>
        <w:spacing w:before="80" w:after="200" w:line="300" w:lineRule="auto"/>
        <w:ind w:left="216" w:right="216"/>
        <w:shd w:fill="EEF5FB"/>
        <w:pBdr>
          <w:left w:val="single" w:sz="18" w:space="8" w:color="2E74B5"/>
        </w:pBdr>
      </w:pPr>
      <w:r>
        <w:rPr>
          <w:rFonts w:ascii="Calibri" w:hAnsi="Calibri" w:eastAsia="微软雅黑"/>
          <w:b/>
          <w:color w:val="0B2545"/>
          <w:sz w:val="20"/>
        </w:rPr>
        <w:t>论文主线｜</w:t>
      </w:r>
      <w:r>
        <w:rPr>
          <w:rFonts w:ascii="Calibri" w:hAnsi="Calibri" w:eastAsia="微软雅黑"/>
          <w:b w:val="0"/>
          <w:color w:val="1B1F23"/>
          <w:sz w:val="20"/>
        </w:rPr>
        <w:t>可调用工程工具首先赋予9B模型可验证的计算能力；任务复杂度上升后，主要瓶颈转向参数传递、状态维护、调用顺序和证据到决策的转换。信息充分任务上的强制RAG和历史通用Solver Skill均未显示稳定平均收益，因此后续D7应检验选择性知识路由和现场外部有效性。</w:t>
      </w: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0 | v2 对齐原则</w:t>
      </w:r>
    </w:p>
    <w:tbl>
      <w:tblPr>
        <w:tblStyle w:val="aff1"/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816"/>
        <w:gridCol w:w="4032"/>
      </w:tblGrid>
      <w:tr>
        <w:trPr>
          <w:tblHeader w:val="true"/>
        </w:trPr>
        <w:tc>
          <w:tcPr>
            <w:tcW w:type="dxa" w:w="151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16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已冻结/已完成</w:t>
            </w:r>
          </w:p>
        </w:tc>
        <w:tc>
          <w:tcPr>
            <w:tcW w:type="dxa" w:w="403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v2中的处理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D1-D6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117题；D1=22、D2=26、D3=14、D4=7、D5=13、D6=35</w:t>
            </w:r>
          </w:p>
        </w:tc>
        <w:tc>
          <w:tcPr>
            <w:tcW w:type="dxa" w:w="40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作为Figure 2-3的正式主证据</w:t>
            </w:r>
          </w:p>
        </w:tc>
      </w:tr>
      <w:tr>
        <w:tc>
          <w:tcPr>
            <w:tcW w:type="dxa" w:w="151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正式物理分支</w:t>
            </w:r>
          </w:p>
        </w:tc>
        <w:tc>
          <w:tcPr>
            <w:tcW w:type="dxa" w:w="3816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Baseline、Tools、Tools + RAG各117题</w:t>
            </w:r>
          </w:p>
        </w:tc>
        <w:tc>
          <w:tcPr>
            <w:tcW w:type="dxa" w:w="403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只比较实际存在的受控条件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Adaptive Router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D1-D6仅有R0/skip_rag；策略回放已保留</w:t>
            </w:r>
          </w:p>
        </w:tc>
        <w:tc>
          <w:tcPr>
            <w:tcW w:type="dxa" w:w="40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仅作为流程验证，不声称双类别路由有效</w:t>
            </w:r>
          </w:p>
        </w:tc>
      </w:tr>
      <w:tr>
        <w:tc>
          <w:tcPr>
            <w:tcW w:type="dxa" w:w="151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Teacher</w:t>
            </w:r>
          </w:p>
        </w:tc>
        <w:tc>
          <w:tcPr>
            <w:tcW w:type="dxa" w:w="3816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General与Tools各117条参考回答</w:t>
            </w:r>
          </w:p>
        </w:tc>
        <w:tc>
          <w:tcPr>
            <w:tcW w:type="dxa" w:w="403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作为参考，不进入9B主排名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Solver Skill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历史小样本效应异质且均值不稳定</w:t>
            </w:r>
          </w:p>
        </w:tc>
        <w:tc>
          <w:tcPr>
            <w:tcW w:type="dxa" w:w="40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降为探索性架构选择证据</w:t>
            </w:r>
          </w:p>
        </w:tc>
      </w:tr>
      <w:tr>
        <w:tc>
          <w:tcPr>
            <w:tcW w:type="dxa" w:w="151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D7与专家评价</w:t>
            </w:r>
          </w:p>
        </w:tc>
        <w:tc>
          <w:tcPr>
            <w:tcW w:type="dxa" w:w="3816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尚待真实数据交付</w:t>
            </w:r>
          </w:p>
        </w:tc>
        <w:tc>
          <w:tcPr>
            <w:tcW w:type="dxa" w:w="403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明确标为未来Figure 4，不提前写成已完成</w:t>
            </w:r>
          </w:p>
        </w:tc>
      </w:tr>
    </w:tbl>
    <w:p>
      <w:pPr>
        <w:spacing w:after="40"/>
      </w:pP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禁止写入主文的旧设定：</w:t>
      </w:r>
      <w:r>
        <w:rPr>
          <w:rFonts w:ascii="Calibri" w:hAnsi="Calibri" w:eastAsia="微软雅黑"/>
          <w:b w:val="0"/>
          <w:color w:val="1B1F23"/>
          <w:sz w:val="20"/>
        </w:rPr>
        <w:t>118题、D5=14、每题每条件5次重复、matched skill作为正式B2主条件、Verifier触发、D7或人工专家评价已经完成。</w:t>
      </w: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Figure 1 | 工程问题、基准与可审计 Harness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 xml:space="preserve">本图目的  </w:t>
      </w:r>
      <w:r>
        <w:rPr>
          <w:rFonts w:ascii="Calibri" w:hAnsi="Calibri" w:eastAsia="微软雅黑"/>
          <w:b w:val="0"/>
          <w:color w:val="1B1F23"/>
          <w:sz w:val="20"/>
        </w:rPr>
        <w:t>说明为什么需要工具增强Harness、D1-D7如何递进，以及正式实验究竟比较哪些系统。Figure 1应以研究设计为主，不放大段结果数字。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a. 盐潮驱动的耦合工程决策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问题：</w:t>
      </w:r>
      <w:r>
        <w:rPr>
          <w:rFonts w:ascii="Calibri" w:hAnsi="Calibri" w:eastAsia="微软雅黑"/>
          <w:b w:val="0"/>
          <w:color w:val="1B1F23"/>
          <w:sz w:val="20"/>
        </w:rPr>
        <w:t>为什么普通语言模型或单一模拟器不足以支撑SWRO运行决策？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用5-7个节点画因果链：原水盐度/温度变化 -&gt; 膜压与回收率 -&gt; 产品水质量/产量 -&gt; 泵与ERD能耗 -&gt; 浓水水化学与结垢风险；安全边界和成本约束作为横跨全链的底座。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水质、产量、能耗和结垢是同一运行决策的耦合后果，需要计算模块、状态传递和安全规则共同支撑。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b. 逐级研究路径：D1-D5 -&gt; D6 -&gt; D7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三段式水平路径。第一段为单模块能力发展（D1-D5，共82题），第二段为多模拟器组合（D6，35题），第三段为待交付现场任务（D7，题量和R0/R2比例待审计）。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段间新增能力：</w:t>
      </w:r>
      <w:r>
        <w:rPr>
          <w:rFonts w:ascii="Calibri" w:hAnsi="Calibri" w:eastAsia="微软雅黑"/>
          <w:b w:val="0"/>
          <w:color w:val="1B1F23"/>
          <w:sz w:val="20"/>
        </w:rPr>
        <w:t>单模块可计算性 -&gt; 依赖拓扑与跨工具状态 -&gt; 现场知识缺口、时间状态、人机协同与安全升级。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D1-D6是开发和机制研究集；D7是策略冻结后的首次未触碰外部验证。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c. Harness模块边界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四层堆叠架构。底层是WaterTAP与Reaktoro-PSE计算工具；中层是9B solver；可选知识层由RAG Router决定是否激活；终止层是context-reset finalizer，仅对有非空部分轨迹的上下文/输出耗尽进行一次工具自由恢复。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工具提供可计算的状态转移和数值证据。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RAG只提供外部规则/知识，不替代模拟。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Router只判断信息需求，不求解工程问题。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Finalizer只能整理已经观察到的证据，不能补做模拟。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d. 实际系统条件</w:t>
      </w:r>
    </w:p>
    <w:p>
      <w:pPr>
        <w:pStyle w:val="af7"/>
        <w:keepNext/>
      </w:pPr>
      <w:r>
        <w:rPr>
          <w:rFonts w:ascii="Calibri" w:hAnsi="Calibri" w:eastAsia="微软雅黑"/>
          <w:b w:val="0"/>
          <w:i/>
          <w:color w:val="5D6875"/>
          <w:sz w:val="18"/>
        </w:rPr>
        <w:t>表 1 | 正式系统矩阵。Adaptive为离线策略回放；Teacher只作参考。</w:t>
      </w:r>
    </w:p>
    <w:tbl>
      <w:tblPr>
        <w:tblStyle w:val="aff1"/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655"/>
        <w:gridCol w:w="892"/>
        <w:gridCol w:w="1267"/>
        <w:gridCol w:w="1944"/>
        <w:gridCol w:w="3602"/>
      </w:tblGrid>
      <w:tr>
        <w:trPr>
          <w:tblHeader w:val="true"/>
        </w:trPr>
        <w:tc>
          <w:tcPr>
            <w:tcW w:type="dxa" w:w="1655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ID</w:t>
            </w:r>
          </w:p>
        </w:tc>
        <w:tc>
          <w:tcPr>
            <w:tcW w:type="dxa" w:w="89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1267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RAG</w:t>
            </w:r>
          </w:p>
        </w:tc>
        <w:tc>
          <w:tcPr>
            <w:tcW w:type="dxa" w:w="1944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Skill/策略</w:t>
            </w:r>
          </w:p>
        </w:tc>
        <w:tc>
          <w:tcPr>
            <w:tcW w:type="dxa" w:w="360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论文角色</w:t>
            </w:r>
          </w:p>
        </w:tc>
      </w:tr>
      <w:t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baseline</w:t>
            </w:r>
          </w:p>
        </w:tc>
        <w:tc>
          <w:tcPr>
            <w:tcW w:type="dxa" w:w="8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否</w:t>
            </w:r>
          </w:p>
        </w:tc>
        <w:tc>
          <w:tcPr>
            <w:tcW w:type="dxa" w:w="126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否</w:t>
            </w:r>
          </w:p>
        </w:tc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无</w:t>
            </w:r>
          </w:p>
        </w:tc>
        <w:tc>
          <w:tcPr>
            <w:tcW w:type="dxa" w:w="36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9B纯模型基线</w:t>
            </w:r>
          </w:p>
        </w:tc>
      </w:tr>
      <w:tr>
        <w:tc>
          <w:tcPr>
            <w:tcW w:type="dxa" w:w="1655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tools</w:t>
            </w:r>
          </w:p>
        </w:tc>
        <w:tc>
          <w:tcPr>
            <w:tcW w:type="dxa" w:w="89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是</w:t>
            </w:r>
          </w:p>
        </w:tc>
        <w:tc>
          <w:tcPr>
            <w:tcW w:type="dxa" w:w="1267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否</w:t>
            </w:r>
          </w:p>
        </w:tc>
        <w:tc>
          <w:tcPr>
            <w:tcW w:type="dxa" w:w="194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无</w:t>
            </w:r>
          </w:p>
        </w:tc>
        <w:tc>
          <w:tcPr>
            <w:tcW w:type="dxa" w:w="360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隔离可计算工具贡献</w:t>
            </w:r>
          </w:p>
        </w:tc>
      </w:tr>
      <w:t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tools-rag</w:t>
            </w:r>
          </w:p>
        </w:tc>
        <w:tc>
          <w:tcPr>
            <w:tcW w:type="dxa" w:w="8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是</w:t>
            </w:r>
          </w:p>
        </w:tc>
        <w:tc>
          <w:tcPr>
            <w:tcW w:type="dxa" w:w="126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始终可用</w:t>
            </w:r>
          </w:p>
        </w:tc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无</w:t>
            </w:r>
          </w:p>
        </w:tc>
        <w:tc>
          <w:tcPr>
            <w:tcW w:type="dxa" w:w="36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R0任务上的强制检索对照</w:t>
            </w:r>
          </w:p>
        </w:tc>
      </w:tr>
      <w:tr>
        <w:tc>
          <w:tcPr>
            <w:tcW w:type="dxa" w:w="1655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tools-adaptive-rag</w:t>
            </w:r>
          </w:p>
        </w:tc>
        <w:tc>
          <w:tcPr>
            <w:tcW w:type="dxa" w:w="89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是</w:t>
            </w:r>
          </w:p>
        </w:tc>
        <w:tc>
          <w:tcPr>
            <w:tcW w:type="dxa" w:w="1267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路由</w:t>
            </w:r>
          </w:p>
        </w:tc>
        <w:tc>
          <w:tcPr>
            <w:tcW w:type="dxa" w:w="194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Router v0.1.2</w:t>
            </w:r>
          </w:p>
        </w:tc>
        <w:tc>
          <w:tcPr>
            <w:tcW w:type="dxa" w:w="360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复用tools/tools-rag已完成分支</w:t>
            </w:r>
          </w:p>
        </w:tc>
      </w:tr>
      <w:t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teacher-general</w:t>
            </w:r>
          </w:p>
        </w:tc>
        <w:tc>
          <w:tcPr>
            <w:tcW w:type="dxa" w:w="8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否</w:t>
            </w:r>
          </w:p>
        </w:tc>
        <w:tc>
          <w:tcPr>
            <w:tcW w:type="dxa" w:w="1267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否</w:t>
            </w:r>
          </w:p>
        </w:tc>
        <w:tc>
          <w:tcPr>
            <w:tcW w:type="dxa" w:w="19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无</w:t>
            </w:r>
          </w:p>
        </w:tc>
        <w:tc>
          <w:tcPr>
            <w:tcW w:type="dxa" w:w="360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GPT-5.6参考，不参与9B主排名</w:t>
            </w:r>
          </w:p>
        </w:tc>
      </w:tr>
      <w:tr>
        <w:tc>
          <w:tcPr>
            <w:tcW w:type="dxa" w:w="1655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teacher-tools</w:t>
            </w:r>
          </w:p>
        </w:tc>
        <w:tc>
          <w:tcPr>
            <w:tcW w:type="dxa" w:w="89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是</w:t>
            </w:r>
          </w:p>
        </w:tc>
        <w:tc>
          <w:tcPr>
            <w:tcW w:type="dxa" w:w="1267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否</w:t>
            </w:r>
          </w:p>
        </w:tc>
        <w:tc>
          <w:tcPr>
            <w:tcW w:type="dxa" w:w="194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无</w:t>
            </w:r>
          </w:p>
        </w:tc>
        <w:tc>
          <w:tcPr>
            <w:tcW w:type="dxa" w:w="360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GPT-5.6工具参考，不参与9B主排名</w:t>
            </w:r>
          </w:p>
        </w:tc>
      </w:tr>
    </w:tbl>
    <w:p>
      <w:pPr>
        <w:spacing w:after="40"/>
      </w:pP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e. D1-D7任务阶梯</w:t>
      </w:r>
    </w:p>
    <w:p>
      <w:pPr>
        <w:pStyle w:val="af7"/>
        <w:keepNext/>
      </w:pPr>
      <w:r>
        <w:rPr>
          <w:rFonts w:ascii="Calibri" w:hAnsi="Calibri" w:eastAsia="微软雅黑"/>
          <w:b w:val="0"/>
          <w:i/>
          <w:color w:val="5D6875"/>
          <w:sz w:val="18"/>
        </w:rPr>
        <w:t>表 2 | 冻结D1-D6规模与D7待交付边界。</w:t>
      </w:r>
    </w:p>
    <w:tbl>
      <w:tblPr>
        <w:tblStyle w:val="aff1"/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080"/>
        <w:gridCol w:w="936"/>
        <w:gridCol w:w="3240"/>
        <w:gridCol w:w="4104"/>
      </w:tblGrid>
      <w:tr>
        <w:trPr>
          <w:tblHeader w:val="true"/>
        </w:trPr>
        <w:tc>
          <w:tcPr>
            <w:tcW w:type="dxa" w:w="1080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936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题数</w:t>
            </w:r>
          </w:p>
        </w:tc>
        <w:tc>
          <w:tcPr>
            <w:tcW w:type="dxa" w:w="3240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主要能力</w:t>
            </w:r>
          </w:p>
        </w:tc>
        <w:tc>
          <w:tcPr>
            <w:tcW w:type="dxa" w:w="4104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当前证据定位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D1</w:t>
            </w:r>
          </w:p>
        </w:tc>
        <w:tc>
          <w:tcPr>
            <w:tcW w:type="dxa" w:w="9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22</w:t>
            </w:r>
          </w:p>
        </w:tc>
        <w:tc>
          <w:tcPr>
            <w:tcW w:type="dxa" w:w="32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膜设计、候选筛选与双侧边界</w:t>
            </w:r>
          </w:p>
        </w:tc>
        <w:tc>
          <w:tcPr>
            <w:tcW w:type="dxa" w:w="410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单模块开发</w:t>
            </w:r>
          </w:p>
        </w:tc>
      </w:tr>
      <w:tr>
        <w:tc>
          <w:tcPr>
            <w:tcW w:type="dxa" w:w="10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D2</w:t>
            </w:r>
          </w:p>
        </w:tc>
        <w:tc>
          <w:tcPr>
            <w:tcW w:type="dxa" w:w="936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26</w:t>
            </w:r>
          </w:p>
        </w:tc>
        <w:tc>
          <w:tcPr>
            <w:tcW w:type="dxa" w:w="324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运行修正与约束控制搜索</w:t>
            </w:r>
          </w:p>
        </w:tc>
        <w:tc>
          <w:tcPr>
            <w:tcW w:type="dxa" w:w="410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单模块开发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D3</w:t>
            </w:r>
          </w:p>
        </w:tc>
        <w:tc>
          <w:tcPr>
            <w:tcW w:type="dxa" w:w="9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14</w:t>
            </w:r>
          </w:p>
        </w:tc>
        <w:tc>
          <w:tcPr>
            <w:tcW w:type="dxa" w:w="32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系统能源、设备边界与权衡</w:t>
            </w:r>
          </w:p>
        </w:tc>
        <w:tc>
          <w:tcPr>
            <w:tcW w:type="dxa" w:w="410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单/系统工具开发</w:t>
            </w:r>
          </w:p>
        </w:tc>
      </w:tr>
      <w:tr>
        <w:tc>
          <w:tcPr>
            <w:tcW w:type="dxa" w:w="10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D4</w:t>
            </w:r>
          </w:p>
        </w:tc>
        <w:tc>
          <w:tcPr>
            <w:tcW w:type="dxa" w:w="936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7</w:t>
            </w:r>
          </w:p>
        </w:tc>
        <w:tc>
          <w:tcPr>
            <w:tcW w:type="dxa" w:w="324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CAPEX敏感性与方案比较</w:t>
            </w:r>
          </w:p>
        </w:tc>
        <w:tc>
          <w:tcPr>
            <w:tcW w:type="dxa" w:w="410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系统决策开发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D5</w:t>
            </w:r>
          </w:p>
        </w:tc>
        <w:tc>
          <w:tcPr>
            <w:tcW w:type="dxa" w:w="9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13</w:t>
            </w:r>
          </w:p>
        </w:tc>
        <w:tc>
          <w:tcPr>
            <w:tcW w:type="dxa" w:w="32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水化学、结垢与预处理边界</w:t>
            </w:r>
          </w:p>
        </w:tc>
        <w:tc>
          <w:tcPr>
            <w:tcW w:type="dxa" w:w="410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跨域计算开发</w:t>
            </w:r>
          </w:p>
        </w:tc>
      </w:tr>
      <w:tr>
        <w:tc>
          <w:tcPr>
            <w:tcW w:type="dxa" w:w="10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D6</w:t>
            </w:r>
          </w:p>
        </w:tc>
        <w:tc>
          <w:tcPr>
            <w:tcW w:type="dxa" w:w="936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35</w:t>
            </w:r>
          </w:p>
        </w:tc>
        <w:tc>
          <w:tcPr>
            <w:tcW w:type="dxa" w:w="324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串联、并联、混合多工具编排</w:t>
            </w:r>
          </w:p>
        </w:tc>
        <w:tc>
          <w:tcPr>
            <w:tcW w:type="dxa" w:w="410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机制与压力测试</w:t>
            </w:r>
          </w:p>
        </w:tc>
      </w:tr>
      <w:tr>
        <w:tc>
          <w:tcPr>
            <w:tcW w:type="dxa" w:w="10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D7</w:t>
            </w:r>
          </w:p>
        </w:tc>
        <w:tc>
          <w:tcPr>
            <w:tcW w:type="dxa" w:w="93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待定</w:t>
            </w:r>
          </w:p>
        </w:tc>
        <w:tc>
          <w:tcPr>
            <w:tcW w:type="dxa" w:w="32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现场知识、时序状态、安全与人机协同</w:t>
            </w:r>
          </w:p>
        </w:tc>
        <w:tc>
          <w:tcPr>
            <w:tcW w:type="dxa" w:w="410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未触碰外部验证</w:t>
            </w:r>
          </w:p>
        </w:tc>
      </w:tr>
    </w:tbl>
    <w:p>
      <w:pPr>
        <w:spacing w:after="40"/>
      </w:pP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f. 评价框架：客观规则 + LLM Judge + 人工专家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中心为候选回答及完整轨迹。底部是共同的规则/物理约束检查；左路为已完成的匿名LLM-as-judge；右路为D7阶段计划实施的盲法人工专家评价；顶部使用统一rubric，末端呈现一致性、分歧与仲裁。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证据状态：</w:t>
      </w:r>
      <w:r>
        <w:rPr>
          <w:rFonts w:ascii="Calibri" w:hAnsi="Calibri" w:eastAsia="微软雅黑"/>
          <w:b w:val="0"/>
          <w:color w:val="1B1F23"/>
          <w:sz w:val="20"/>
        </w:rPr>
        <w:t>D1-D6已有585条Judge评分与任务/轨迹指标；人工专家评价尚未完成。硬安全违规可设计为否决项，但必须等D7评分方案冻结后再写成正式规则。</w:t>
      </w:r>
    </w:p>
    <w:p>
      <w:pPr>
        <w:pStyle w:val="21"/>
      </w:pPr>
      <w:r>
        <w:rPr>
          <w:rFonts w:ascii="Calibri" w:hAnsi="Calibri" w:eastAsia="微软雅黑"/>
          <w:b/>
          <w:color w:val="2E74B5"/>
          <w:sz w:val="26"/>
        </w:rPr>
        <w:t>Figure 1 图注草案</w:t>
      </w:r>
    </w:p>
    <w:p>
      <w:pPr>
        <w:spacing w:after="120" w:line="307" w:lineRule="auto"/>
      </w:pPr>
      <w:r>
        <w:rPr>
          <w:rFonts w:ascii="Calibri" w:hAnsi="Calibri" w:eastAsia="微软雅黑"/>
          <w:b w:val="0"/>
          <w:color w:val="1B1F23"/>
          <w:sz w:val="20"/>
        </w:rPr>
        <w:t>Figure 1 | Progressive construction and evaluation of an auditable harness for coupled water-treatment decisions. (a) Saltwater intrusion links water quality, production, energy and scaling outcomes. (b) Tasks progress from 82 single- and system-module cases in D1-D5 to 35 multi-simulator cases in D6 and a held-out field set in D7. (c-d) The harness separates callable simulators, the solver, conditional retrieval routing and evidence-bounded context recovery. (e) The benchmark contains 117 frozen D1-D6 cases; D7 remains pending. (f) Frozen results use objective checks and blinded LLM judging, while expert evaluation is reserved for D7.</w:t>
      </w:r>
    </w:p>
    <w:p>
      <w:r>
        <w:br w:type="page"/>
      </w: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Figure 2 | D1-D6：工具增益、R0检索对照与可靠性边界</w:t>
      </w:r>
    </w:p>
    <w:p>
      <w:pPr>
        <w:spacing w:before="80" w:after="200" w:line="300" w:lineRule="auto"/>
        <w:ind w:left="216" w:right="216"/>
        <w:shd w:fill="EEF5FB"/>
        <w:pBdr>
          <w:left w:val="single" w:sz="18" w:space="8" w:color="2E74B5"/>
        </w:pBdr>
      </w:pPr>
      <w:r>
        <w:rPr>
          <w:rFonts w:ascii="Calibri" w:hAnsi="Calibri" w:eastAsia="微软雅黑"/>
          <w:b/>
          <w:color w:val="0B2545"/>
          <w:sz w:val="20"/>
        </w:rPr>
        <w:t>本图结论｜</w:t>
      </w:r>
      <w:r>
        <w:rPr>
          <w:rFonts w:ascii="Calibri" w:hAnsi="Calibri" w:eastAsia="微软雅黑"/>
          <w:b w:val="0"/>
          <w:color w:val="1B1F23"/>
          <w:sz w:val="20"/>
        </w:rPr>
        <w:t>WaterTAP Tools显著提高了可执行工程质量，但收益集中在调用、规划和解释层；强制RAG在信息充分任务上没有可靠增益，且原生完成、有效证据路径与执行成本仍是系统边界。</w:t>
      </w:r>
    </w:p>
    <w:p>
      <w:pPr>
        <w:pStyle w:val="af7"/>
        <w:keepNext/>
      </w:pPr>
      <w:r>
        <w:rPr>
          <w:rFonts w:ascii="Calibri" w:hAnsi="Calibri" w:eastAsia="微软雅黑"/>
          <w:b w:val="0"/>
          <w:i/>
          <w:color w:val="5D6875"/>
          <w:sz w:val="18"/>
        </w:rPr>
        <w:t>表 3 | Figure 2 应锁定的冻结主数字。</w:t>
      </w:r>
    </w:p>
    <w:tbl>
      <w:tblPr>
        <w:tblStyle w:val="aff1"/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1440"/>
        <w:gridCol w:w="1555"/>
        <w:gridCol w:w="1699"/>
        <w:gridCol w:w="2938"/>
      </w:tblGrid>
      <w:tr>
        <w:trPr>
          <w:tblHeader w:val="true"/>
        </w:trPr>
        <w:tc>
          <w:tcPr>
            <w:tcW w:type="dxa" w:w="1728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1440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1555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1699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Tools + RAG</w:t>
            </w:r>
          </w:p>
        </w:tc>
        <w:tc>
          <w:tcPr>
            <w:tcW w:type="dxa" w:w="2938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比较/边界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任务质量均分</w:t>
            </w:r>
          </w:p>
        </w:tc>
        <w:tc>
          <w:tcPr>
            <w:tcW w:type="dxa" w:w="14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25.84</w:t>
            </w:r>
          </w:p>
        </w:tc>
        <w:tc>
          <w:tcPr>
            <w:tcW w:type="dxa" w:w="15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57.27</w:t>
            </w:r>
          </w:p>
        </w:tc>
        <w:tc>
          <w:tcPr>
            <w:tcW w:type="dxa" w:w="169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55.01</w:t>
            </w:r>
          </w:p>
        </w:tc>
        <w:tc>
          <w:tcPr>
            <w:tcW w:type="dxa" w:w="29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Tools-Baseline = +31.44</w:t>
            </w:r>
          </w:p>
        </w:tc>
      </w:tr>
      <w:tr>
        <w:tc>
          <w:tcPr>
            <w:tcW w:type="dxa" w:w="1728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95% CI</w:t>
            </w:r>
          </w:p>
        </w:tc>
        <w:tc>
          <w:tcPr>
            <w:tcW w:type="dxa" w:w="144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-</w:t>
            </w:r>
          </w:p>
        </w:tc>
        <w:tc>
          <w:tcPr>
            <w:tcW w:type="dxa" w:w="1555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[26.94, 35.85]</w:t>
            </w:r>
          </w:p>
        </w:tc>
        <w:tc>
          <w:tcPr>
            <w:tcW w:type="dxa" w:w="1699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[-5.13, +0.62]</w:t>
            </w:r>
          </w:p>
        </w:tc>
        <w:tc>
          <w:tcPr>
            <w:tcW w:type="dxa" w:w="2938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分别对应Tools增益与RAG效应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逐题正/平/负</w:t>
            </w:r>
          </w:p>
        </w:tc>
        <w:tc>
          <w:tcPr>
            <w:tcW w:type="dxa" w:w="14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-</w:t>
            </w:r>
          </w:p>
        </w:tc>
        <w:tc>
          <w:tcPr>
            <w:tcW w:type="dxa" w:w="15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108 / 1 / 8</w:t>
            </w:r>
          </w:p>
        </w:tc>
        <w:tc>
          <w:tcPr>
            <w:tcW w:type="dxa" w:w="169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49 / 3 / 65</w:t>
            </w:r>
          </w:p>
        </w:tc>
        <w:tc>
          <w:tcPr>
            <w:tcW w:type="dxa" w:w="29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同题配对</w:t>
            </w:r>
          </w:p>
        </w:tc>
      </w:tr>
      <w:tr>
        <w:tc>
          <w:tcPr>
            <w:tcW w:type="dxa" w:w="1728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原生完成率</w:t>
            </w:r>
          </w:p>
        </w:tc>
        <w:tc>
          <w:tcPr>
            <w:tcW w:type="dxa" w:w="144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5.1%</w:t>
            </w:r>
          </w:p>
        </w:tc>
        <w:tc>
          <w:tcPr>
            <w:tcW w:type="dxa" w:w="1555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54.7%</w:t>
            </w:r>
          </w:p>
        </w:tc>
        <w:tc>
          <w:tcPr>
            <w:tcW w:type="dxa" w:w="1699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53.0%</w:t>
            </w:r>
          </w:p>
        </w:tc>
        <w:tc>
          <w:tcPr>
            <w:tcW w:type="dxa" w:w="2938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恢复后均为100%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平均时延</w:t>
            </w:r>
          </w:p>
        </w:tc>
        <w:tc>
          <w:tcPr>
            <w:tcW w:type="dxa" w:w="144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42.67 s</w:t>
            </w:r>
          </w:p>
        </w:tc>
        <w:tc>
          <w:tcPr>
            <w:tcW w:type="dxa" w:w="15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99.58 s</w:t>
            </w:r>
          </w:p>
        </w:tc>
        <w:tc>
          <w:tcPr>
            <w:tcW w:type="dxa" w:w="169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100.02 s</w:t>
            </w:r>
          </w:p>
        </w:tc>
        <w:tc>
          <w:tcPr>
            <w:tcW w:type="dxa" w:w="293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端到端阶段</w:t>
            </w:r>
          </w:p>
        </w:tc>
      </w:tr>
      <w:tr>
        <w:tc>
          <w:tcPr>
            <w:tcW w:type="dxa" w:w="1728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平均工具调用</w:t>
            </w:r>
          </w:p>
        </w:tc>
        <w:tc>
          <w:tcPr>
            <w:tcW w:type="dxa" w:w="144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0</w:t>
            </w:r>
          </w:p>
        </w:tc>
        <w:tc>
          <w:tcPr>
            <w:tcW w:type="dxa" w:w="1555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11.05</w:t>
            </w:r>
          </w:p>
        </w:tc>
        <w:tc>
          <w:tcPr>
            <w:tcW w:type="dxa" w:w="1699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11.34</w:t>
            </w:r>
          </w:p>
        </w:tc>
        <w:tc>
          <w:tcPr>
            <w:tcW w:type="dxa" w:w="2938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可观察调用</w:t>
            </w:r>
          </w:p>
        </w:tc>
      </w:tr>
    </w:tbl>
    <w:p>
      <w:pPr>
        <w:spacing w:after="40"/>
      </w:pP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a. 总体效应与Teacher参考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主图采用同题配对点区间或雨云图，突出Baseline 25.84、Tools 57.27和+31.44分的配对效应及95% CI；右侧用浅色参考点放teacher-general和teacher-tools，明确标注reference only。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Tools在108/117题上提高分数，提升并非由少数极端样本驱动。不要把Teacher作为与9B同等的主排名条件。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b. 任务族与Rubric步骤分解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左侧为13个任务族的Tools-Baseline配对增益森林图；右侧为六个Rubric步骤增益。推荐在正文标注TQ3工具调用正确性+10.34、TQ2规划与分解+6.29、TQ4结果解释+5.69、TQ5比较与重新规划+4.81、TQ6最终工程决策+1.86。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工具首先改善计算执行和中间证据，最终工程判断的改善相对有限。若尚未冻结difficulty score，不放“性能随难度变化”曲线。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c. R0任务上的强制RAG对照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用配对差值分布或正/平/负条形图显示Tools + RAG相对Tools的效应：均值-2.26分，95% CI [-5.13, +0.62]；49题提高、3题持平、65题下降。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在已给足数值和决策规则的R0任务中，强制RAG没有可靠总体收益；不能写成“RAG显著降低分数”，也不能由此推断RAG在R2任务无效。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d. 原生完成、恢复完成与成本边界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第一部分并列native completion和final completion；第二部分呈现任务质量、时延和调用数。恢复完成用斜纹或空心标记，避免与原生完成混淆。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100%最终完成率来自预设恢复流程，不等于模型在原始工具链中全部完成。Tools用约2.3倍时延换取显著质量提升，Tools + RAG没有增加明显时延，但也没有提高质量。</w:t>
      </w:r>
    </w:p>
    <w:p>
      <w:pPr>
        <w:pStyle w:val="21"/>
      </w:pPr>
      <w:r>
        <w:rPr>
          <w:rFonts w:ascii="Calibri" w:hAnsi="Calibri" w:eastAsia="微软雅黑"/>
          <w:b/>
          <w:color w:val="2E74B5"/>
          <w:sz w:val="26"/>
        </w:rPr>
        <w:t>Figure 2 图注草案</w:t>
      </w:r>
    </w:p>
    <w:p>
      <w:pPr>
        <w:spacing w:after="120" w:line="307" w:lineRule="auto"/>
      </w:pPr>
      <w:r>
        <w:rPr>
          <w:rFonts w:ascii="Calibri" w:hAnsi="Calibri" w:eastAsia="微软雅黑"/>
          <w:b w:val="0"/>
          <w:color w:val="1B1F23"/>
          <w:sz w:val="20"/>
        </w:rPr>
        <w:t>Figure 2 | Executable engineering tools improve task quality across the frozen D1-D6 benchmark but do not eliminate reliability and decision-making bottlenecks. (a) Paired task-quality scores for Baseline and Tools, with GPT-5.6 systems shown as references only. (b) Family- and rubric-level effects localize the largest gains to tool execution, planning and interpretation. (c) Always-on retrieval provides no reliable aggregate benefit across 117 information-sufficient R0 tasks. (d) Native completion, context-reset recovery, latency and tool-call burden define the operational boundary of the observed gain. Intervals are clustered at the task level; each physical arm contains one frozen response per case.</w:t>
      </w:r>
    </w:p>
    <w:p>
      <w:r>
        <w:br w:type="page"/>
      </w: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Figure 3 | D6：依赖拓扑与轨迹失败机制</w:t>
      </w:r>
    </w:p>
    <w:p>
      <w:pPr>
        <w:spacing w:before="80" w:after="200" w:line="300" w:lineRule="auto"/>
        <w:ind w:left="216" w:right="216"/>
        <w:shd w:fill="EEF5FB"/>
        <w:pBdr>
          <w:left w:val="single" w:sz="18" w:space="8" w:color="2E74B5"/>
        </w:pBdr>
      </w:pPr>
      <w:r>
        <w:rPr>
          <w:rFonts w:ascii="Calibri" w:hAnsi="Calibri" w:eastAsia="微软雅黑"/>
          <w:b/>
          <w:color w:val="0B2545"/>
          <w:sz w:val="20"/>
        </w:rPr>
        <w:t>本图结论｜</w:t>
      </w:r>
      <w:r>
        <w:rPr>
          <w:rFonts w:ascii="Calibri" w:hAnsi="Calibri" w:eastAsia="微软雅黑"/>
          <w:b w:val="0"/>
          <w:color w:val="1B1F23"/>
          <w:sz w:val="20"/>
        </w:rPr>
        <w:t>D6不再重复回答“Tools是否有提升”，而是解释复杂多模拟器任务为何失败：依赖结构要求模型维持跨工具状态，Tools能够推迟首次错误，但工具参数、长轨迹和证据丢失仍限制可靠性。</w:t>
      </w:r>
    </w:p>
    <w:p>
      <w:pPr>
        <w:pStyle w:val="af7"/>
        <w:keepNext/>
      </w:pPr>
      <w:r>
        <w:rPr>
          <w:rFonts w:ascii="Calibri" w:hAnsi="Calibri" w:eastAsia="微软雅黑"/>
          <w:b w:val="0"/>
          <w:i/>
          <w:color w:val="5D6875"/>
          <w:sz w:val="18"/>
        </w:rPr>
        <w:t>表 4 | D6三个预定义子类。</w:t>
      </w:r>
    </w:p>
    <w:tbl>
      <w:tblPr>
        <w:tblStyle w:val="aff1"/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892"/>
        <w:gridCol w:w="792"/>
        <w:gridCol w:w="1512"/>
        <w:gridCol w:w="1800"/>
        <w:gridCol w:w="4364"/>
      </w:tblGrid>
      <w:tr>
        <w:trPr>
          <w:tblHeader w:val="true"/>
        </w:trPr>
        <w:tc>
          <w:tcPr>
            <w:tcW w:type="dxa" w:w="89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子类</w:t>
            </w:r>
          </w:p>
        </w:tc>
        <w:tc>
          <w:tcPr>
            <w:tcW w:type="dxa" w:w="79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题数</w:t>
            </w:r>
          </w:p>
        </w:tc>
        <w:tc>
          <w:tcPr>
            <w:tcW w:type="dxa" w:w="1512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拓扑</w:t>
            </w:r>
          </w:p>
        </w:tc>
        <w:tc>
          <w:tcPr>
            <w:tcW w:type="dxa" w:w="1800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最小工具结构</w:t>
            </w:r>
          </w:p>
        </w:tc>
        <w:tc>
          <w:tcPr>
            <w:tcW w:type="dxa" w:w="4364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代表性关系</w:t>
            </w:r>
          </w:p>
        </w:tc>
      </w:tr>
      <w:tr>
        <w:tc>
          <w:tcPr>
            <w:tcW w:type="dxa" w:w="8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D6a</w:t>
            </w:r>
          </w:p>
        </w:tc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7</w:t>
            </w:r>
          </w:p>
        </w:tc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混合串并联</w:t>
            </w:r>
          </w:p>
        </w:tc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&gt;=3个模拟器</w:t>
            </w:r>
          </w:p>
        </w:tc>
        <w:tc>
          <w:tcPr>
            <w:tcW w:type="dxa" w:w="436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膜/系统结果汇入能耗、成本和水化学判断</w:t>
            </w:r>
          </w:p>
        </w:tc>
      </w:tr>
      <w:tr>
        <w:tc>
          <w:tcPr>
            <w:tcW w:type="dxa" w:w="89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D6b</w:t>
            </w:r>
          </w:p>
        </w:tc>
        <w:tc>
          <w:tcPr>
            <w:tcW w:type="dxa" w:w="79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14</w:t>
            </w:r>
          </w:p>
        </w:tc>
        <w:tc>
          <w:tcPr>
            <w:tcW w:type="dxa" w:w="1512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串联</w:t>
            </w:r>
          </w:p>
        </w:tc>
        <w:tc>
          <w:tcPr>
            <w:tcW w:type="dxa" w:w="180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2个不同模拟器</w:t>
            </w:r>
          </w:p>
        </w:tc>
        <w:tc>
          <w:tcPr>
            <w:tcW w:type="dxa" w:w="4364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RO浓水组成 -&gt; 水化学/结垢风险</w:t>
            </w:r>
          </w:p>
        </w:tc>
      </w:tr>
      <w:tr>
        <w:tc>
          <w:tcPr>
            <w:tcW w:type="dxa" w:w="8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D6c</w:t>
            </w:r>
          </w:p>
        </w:tc>
        <w:tc>
          <w:tcPr>
            <w:tcW w:type="dxa" w:w="79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14</w:t>
            </w:r>
          </w:p>
        </w:tc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并联</w:t>
            </w:r>
          </w:p>
        </w:tc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2个不同模拟器</w:t>
            </w:r>
          </w:p>
        </w:tc>
        <w:tc>
          <w:tcPr>
            <w:tcW w:type="dxa" w:w="436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5"/>
              </w:rPr>
              <w:t>膜性能与系统能源/水质分支共同支持权衡</w:t>
            </w:r>
          </w:p>
        </w:tc>
      </w:tr>
    </w:tbl>
    <w:p>
      <w:pPr>
        <w:spacing w:after="40"/>
      </w:pP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a. 代表任务的真实依赖图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D6a、D6b、D6c各选一个中位复杂度任务画小型DAG。节点颜色区分RO、全厂能源/成本和水化学工具；实线表示数据依赖，汇合节点表示并联结果共同进入最终判断。DAG来自任务真值，不来自模型的实际调用顺序。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工具数量不足以定义任务难度；状态血缘、调用顺序与分支汇合决定了可执行复杂度。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b. 按子类分层的描述性结果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分别展示D6a、D6b、D6c中Baseline、Tools和Tools + RAG的任务质量、原生完成或有效路径率；D6a仅7题，必须保留宽置信区间。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解释边界：</w:t>
      </w:r>
      <w:r>
        <w:rPr>
          <w:rFonts w:ascii="Calibri" w:hAnsi="Calibri" w:eastAsia="微软雅黑"/>
          <w:b w:val="0"/>
          <w:color w:val="1B1F23"/>
          <w:sz w:val="20"/>
        </w:rPr>
        <w:t>拓扑与任务子族是一一对应的，不能从现有数据中完全分离“拓扑效应”和“任务内容效应”。因此使用“分层关联”或“异质性”表述，不把混合效应模型包装成独立因果证明。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c. 首个致命错误与全部错误发生率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左侧为首次错误步骤分布，右侧为错误类型dot plot。冻结数据中平均首次错误步骤为Baseline 1.74、Tools 2.56、Tools + RAG 2.45；平均下游受影响步骤数分别为4.22、3.73和3.87。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重点类别：</w:t>
      </w:r>
      <w:r>
        <w:rPr>
          <w:rFonts w:ascii="Calibri" w:hAnsi="Calibri" w:eastAsia="微软雅黑"/>
          <w:b w:val="0"/>
          <w:color w:val="1B1F23"/>
          <w:sz w:val="20"/>
        </w:rPr>
        <w:t>任务分类、数值推理、约束遗漏、工程判断、过度断言、工具选择、工具参数、依赖/顺序、忽略前序输出和未恢复。Tools中的TOOL_ARGUMENT逐题发生率为41.9%，应作为执行层主要瓶颈突出显示。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作图规则：</w:t>
      </w:r>
      <w:r>
        <w:rPr>
          <w:rFonts w:ascii="Calibri" w:hAnsi="Calibri" w:eastAsia="微软雅黑"/>
          <w:b w:val="0"/>
          <w:color w:val="1B1F23"/>
          <w:sz w:val="20"/>
        </w:rPr>
        <w:t>同时报告“所有错误发生率”和“首个致命错误分布”，避免长轨迹中的多个错误共享错误分母。</w:t>
      </w:r>
    </w:p>
    <w:p>
      <w:pPr>
        <w:pStyle w:val="21"/>
      </w:pPr>
      <w:r>
        <w:rPr>
          <w:rFonts w:ascii="Calibri" w:hAnsi="Calibri" w:eastAsia="微软雅黑"/>
          <w:b/>
          <w:color w:val="1F4D78"/>
          <w:sz w:val="24"/>
        </w:rPr>
        <w:t>d. 调用负担、恢复模式与证据质量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图形：</w:t>
      </w:r>
      <w:r>
        <w:rPr>
          <w:rFonts w:ascii="Calibri" w:hAnsi="Calibri" w:eastAsia="微软雅黑"/>
          <w:b w:val="0"/>
          <w:color w:val="1B1F23"/>
          <w:sz w:val="20"/>
        </w:rPr>
        <w:t>主图可用工具调用数-时延-任务质量气泡图；旁图比较native与context-reset recovered。Tools原生完成均分62.89、恢复完成50.49；有效路径率分别为31.2%和3.8%。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读图结论：</w:t>
      </w:r>
      <w:r>
        <w:rPr>
          <w:rFonts w:ascii="Calibri" w:hAnsi="Calibri" w:eastAsia="微软雅黑"/>
          <w:b w:val="0"/>
          <w:color w:val="1B1F23"/>
          <w:sz w:val="20"/>
        </w:rPr>
        <w:t>调用更多常常是难题或搜索失控的信号，而不是能力本身。16次及以上调用组中Tools均分30.77、Tools + RAG为33.93，仅作描述性关联。恢复机制可以补齐最终回答，但不能恢复缺失的仿真证据。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术语修正：</w:t>
      </w:r>
      <w:r>
        <w:rPr>
          <w:rFonts w:ascii="Calibri" w:hAnsi="Calibri" w:eastAsia="微软雅黑"/>
          <w:b w:val="0"/>
          <w:color w:val="1B1F23"/>
          <w:sz w:val="20"/>
        </w:rPr>
        <w:t>本panel标注context-reset finalizer触发，不标注Verifier。Finalizer是一次工具自由、仅基于已有部分轨迹的终止策略。</w:t>
      </w:r>
    </w:p>
    <w:p>
      <w:pPr>
        <w:pStyle w:val="21"/>
      </w:pPr>
      <w:r>
        <w:rPr>
          <w:rFonts w:ascii="Calibri" w:hAnsi="Calibri" w:eastAsia="微软雅黑"/>
          <w:b/>
          <w:color w:val="2E74B5"/>
          <w:sz w:val="26"/>
        </w:rPr>
        <w:t>Figure 3 图注草案</w:t>
      </w:r>
    </w:p>
    <w:p>
      <w:pPr>
        <w:spacing w:after="120" w:line="307" w:lineRule="auto"/>
      </w:pPr>
      <w:r>
        <w:rPr>
          <w:rFonts w:ascii="Calibri" w:hAnsi="Calibri" w:eastAsia="微软雅黑"/>
          <w:b w:val="0"/>
          <w:color w:val="1B1F23"/>
          <w:sz w:val="20"/>
        </w:rPr>
        <w:t>Figure 3 | Dependency structure and observable trajectory failures explain performance on complex multi-simulator tasks. (a) Ground-truth serial, parallel and mixed task graphs from D6. (b) Descriptive outcome heterogeneity across the three topology-linked task subclasses, with wide intervals retained for the seven mixed cases. (c) Tools delay the first observable error but expose tool-argument and state-lineage bottlenecks. (d) Tool-call burden, native completion and context-reset recovery show that answer completion does not necessarily restore a valid evidence path. Topology-stratified results are associative because topology and task subclass are not independently varied.</w:t>
      </w: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D7到达后的Figure 4接口（本版不提前填结果）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D7不是继续堆叠题量，而是完成外部有效性和选择性知识使用的闭环。</w:t>
      </w:r>
      <w:r>
        <w:rPr>
          <w:rFonts w:ascii="Calibri" w:hAnsi="Calibri" w:eastAsia="微软雅黑"/>
          <w:b w:val="0"/>
          <w:color w:val="1B1F23"/>
          <w:sz w:val="20"/>
        </w:rPr>
        <w:t>建议Figure 4保留四个panel：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a. D7现场任务构成、R0/R2比例以及每个R2对应的缺失规则与冻结语料来源。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b. Zero-shot Router与Router Skill的混淆矩阵、valid-output rate、precision、recall、F1和balanced accuracy。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c. Tools + RAG相对Tools在R0与R2中的分层效应，以及Adaptive离线分支回放的routing regret。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d. 盲法专家评分、规则违规、Judge-专家一致性、分歧原因和仲裁结果。</w:t>
      </w:r>
    </w:p>
    <w:p>
      <w:pPr>
        <w:spacing w:before="80" w:after="200" w:line="300" w:lineRule="auto"/>
        <w:ind w:left="216" w:right="216"/>
        <w:shd w:fill="FFF4D6"/>
        <w:pBdr>
          <w:left w:val="single" w:sz="18" w:space="8" w:color="2E74B5"/>
        </w:pBdr>
      </w:pPr>
      <w:r>
        <w:rPr>
          <w:rFonts w:ascii="Calibri" w:hAnsi="Calibri" w:eastAsia="微软雅黑"/>
          <w:b/>
          <w:color w:val="0B2545"/>
          <w:sz w:val="20"/>
        </w:rPr>
        <w:t>D7运行前必须冻结｜</w:t>
      </w:r>
      <w:r>
        <w:rPr>
          <w:rFonts w:ascii="Calibri" w:hAnsi="Calibri" w:eastAsia="微软雅黑"/>
          <w:b w:val="0"/>
          <w:color w:val="1B1F23"/>
          <w:sz w:val="20"/>
        </w:rPr>
        <w:t>R0/R2标注协议、RAG证据映射、语料文件哈希、chunk size、overlap、top-k、阈值、embedding版本、检索模式、Router版本、9B精确检查点/服务配置、专家人数与一致性指标。</w:t>
      </w: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主张边界清单</w:t>
      </w:r>
    </w:p>
    <w:tbl>
      <w:tblPr>
        <w:tblStyle w:val="aff1"/>
        <w:tblW w:type="dxa" w:w="9360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可以写</w:t>
            </w:r>
          </w:p>
        </w:tc>
        <w:tc>
          <w:tcPr>
            <w:tcW w:type="dxa" w:w="4680"/>
            <w:shd w:fill="2E74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6"/>
              </w:rPr>
              <w:t>暂时不能写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Tools在117个D1-D6任务上产生大幅、广泛的配对增益</w:t>
            </w:r>
          </w:p>
        </w:tc>
        <w:tc>
          <w:tcPr>
            <w:tcW w:type="dxa" w:w="46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Harness已在真实现场被验证</w:t>
            </w:r>
          </w:p>
        </w:tc>
      </w:tr>
      <w:tr>
        <w:tc>
          <w:tcPr>
            <w:tcW w:type="dxa" w:w="46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强制RAG在信息充分R0任务上没有可靠总体收益</w:t>
            </w:r>
          </w:p>
        </w:tc>
        <w:tc>
          <w:tcPr>
            <w:tcW w:type="dxa" w:w="46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RAG总体无效或显著降低性能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Tools推迟首次错误，并改变错误传播位置</w:t>
            </w:r>
          </w:p>
        </w:tc>
        <w:tc>
          <w:tcPr>
            <w:tcW w:type="dxa" w:w="46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轨迹分析已经证明严格因果机制</w:t>
            </w:r>
          </w:p>
        </w:tc>
      </w:tr>
      <w:tr>
        <w:tc>
          <w:tcPr>
            <w:tcW w:type="dxa" w:w="46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恢复完成与原生完成、有效证据路径应分开报告</w:t>
            </w:r>
          </w:p>
        </w:tc>
        <w:tc>
          <w:tcPr>
            <w:tcW w:type="dxa" w:w="46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100%最终完成等同于100%原生成功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历史Solver Skill结果支持把其移出主矩阵</w:t>
            </w:r>
          </w:p>
        </w:tc>
        <w:tc>
          <w:tcPr>
            <w:tcW w:type="dxa" w:w="468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matched Solver Skill已稳定提高性能</w:t>
            </w:r>
          </w:p>
        </w:tc>
      </w:tr>
      <w:tr>
        <w:tc>
          <w:tcPr>
            <w:tcW w:type="dxa" w:w="46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D7将检验双类别路由和现场外部有效性</w:t>
            </w:r>
          </w:p>
        </w:tc>
        <w:tc>
          <w:tcPr>
            <w:tcW w:type="dxa" w:w="4680"/>
            <w:shd w:fill="F3F5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1B1F23"/>
                <w:sz w:val="16"/>
              </w:rPr>
              <w:t>当前Router已有可识别的R2 recall/F1</w:t>
            </w:r>
          </w:p>
        </w:tc>
      </w:tr>
    </w:tbl>
    <w:p>
      <w:pPr>
        <w:spacing w:after="40"/>
      </w:pPr>
    </w:p>
    <w:p>
      <w:pPr>
        <w:pStyle w:val="1"/>
      </w:pPr>
      <w:r>
        <w:rPr>
          <w:rFonts w:ascii="Calibri" w:hAnsi="Calibri" w:eastAsia="微软雅黑"/>
          <w:b/>
          <w:color w:val="2E74B5"/>
          <w:sz w:val="32"/>
        </w:rPr>
        <w:t>数据源与作图落地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总体Tools结果：runs/d1-d6-full-20260828-v1/paper_stage1_tools/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R0强制RAG结果：runs/d1-d6-full-20260828-v1/paper_stage1_rag/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轨迹与恢复结果：runs/d1-d6-full-20260828-v1/paper_stage1_trajectory/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现有SVG草图：runs/d1-d6-full-20260828-v1/figures/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冻结输入和完整性边界：runs/d1-d6-full-20260828-v1/FROZEN_RUN.md 与 paper_stage1/FREEZE_AUDIT.md</w:t>
      </w:r>
    </w:p>
    <w:p>
      <w:pPr>
        <w:pStyle w:val="a0"/>
        <w:spacing w:after="80" w:line="288" w:lineRule="auto"/>
      </w:pPr>
      <w:r>
        <w:rPr>
          <w:rFonts w:ascii="Calibri" w:hAnsi="Calibri" w:eastAsia="微软雅黑"/>
          <w:b w:val="0"/>
          <w:color w:val="1B1F23"/>
          <w:sz w:val="19"/>
        </w:rPr>
        <w:t>D7接收和派生标注边界：docs/D7_BENCHMARK_SPEC.md</w:t>
      </w:r>
    </w:p>
    <w:p>
      <w:pPr>
        <w:spacing w:after="120" w:line="307" w:lineRule="auto"/>
      </w:pPr>
      <w:r>
        <w:rPr>
          <w:rFonts w:ascii="Calibri" w:hAnsi="Calibri" w:eastAsia="微软雅黑"/>
          <w:b/>
          <w:color w:val="0B2545"/>
          <w:sz w:val="20"/>
        </w:rPr>
        <w:t>建议制作顺序：</w:t>
      </w:r>
      <w:r>
        <w:rPr>
          <w:rFonts w:ascii="Calibri" w:hAnsi="Calibri" w:eastAsia="微软雅黑"/>
          <w:b w:val="0"/>
          <w:color w:val="1B1F23"/>
          <w:sz w:val="20"/>
        </w:rPr>
        <w:t>先定Figure 2的正式数字和视觉语法，再以同一颜色映射制作Figure 3；Figure 1最后绘制，以确保系统名称、证据状态和正文术语与结果图完全一致。</w:t>
      </w:r>
    </w:p>
    <w:sectPr w:rsidR="009603DF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750C" w14:textId="77777777" w:rsidR="00B04364" w:rsidRDefault="00B04364">
      <w:pPr>
        <w:spacing w:after="0" w:line="240" w:lineRule="auto"/>
      </w:pPr>
      <w:r>
        <w:separator/>
      </w:r>
    </w:p>
  </w:endnote>
  <w:endnote w:type="continuationSeparator" w:id="0">
    <w:p w14:paraId="122D3271" w14:textId="77777777" w:rsidR="00B04364" w:rsidRDefault="00B04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5CF9" w14:textId="043D13D3" w:rsidR="009603DF" w:rsidRDefault="00000000">
    <w:pPr>
      <w:pStyle w:val="a7"/>
      <w:jc w:val="right"/>
    </w:pPr>
    <w:r>
      <w:rPr>
        <w:color w:val="5D6875"/>
        <w:sz w:val="17"/>
      </w:rPr>
      <w:fldChar w:fldCharType="begin"/>
    </w:r>
    <w:r>
      <w:rPr>
        <w:color w:val="5D6875"/>
        <w:sz w:val="17"/>
      </w:rPr>
      <w:instrText xml:space="preserve"> PAGE </w:instrText>
    </w:r>
    <w:r w:rsidR="00752A3C">
      <w:rPr>
        <w:color w:val="5D6875"/>
        <w:sz w:val="17"/>
      </w:rPr>
      <w:fldChar w:fldCharType="separate"/>
    </w:r>
    <w:r w:rsidR="00752A3C">
      <w:rPr>
        <w:noProof/>
        <w:color w:val="5D6875"/>
        <w:sz w:val="17"/>
      </w:rPr>
      <w:t>1</w:t>
    </w:r>
    <w:r>
      <w:rPr>
        <w:color w:val="5D68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F69A" w14:textId="77777777" w:rsidR="00B04364" w:rsidRDefault="00B04364">
      <w:pPr>
        <w:spacing w:after="0" w:line="240" w:lineRule="auto"/>
      </w:pPr>
      <w:r>
        <w:separator/>
      </w:r>
    </w:p>
  </w:footnote>
  <w:footnote w:type="continuationSeparator" w:id="0">
    <w:p w14:paraId="6E9088B9" w14:textId="77777777" w:rsidR="00B04364" w:rsidRDefault="00B04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725B" w14:textId="297DD88A" w:rsidR="009603DF" w:rsidRDefault="009603DF">
    <w:pPr>
      <w:pStyle w:val="a5"/>
      <w:tabs>
        <w:tab w:val="left" w:pos="9360"/>
      </w:tabs>
      <w:jc w:val="lef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6D"/>
    <w:multiLevelType w:val="singleLevel"/>
    <w:tmpl w:val="C9ECF39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Calibri" w:eastAsia="微软雅黑" w:hAnsi="Calibri"/>
      </w:rPr>
    </w:lvl>
  </w:abstractNum>
  <w:abstractNum w:abstractNumId="10" w15:restartNumberingAfterBreak="0">
    <w:nsid w:val="0000006E"/>
    <w:multiLevelType w:val="singleLevel"/>
    <w:tmpl w:val="2466D12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Calibri" w:eastAsia="微软雅黑" w:hAnsi="Calibri"/>
      </w:rPr>
    </w:lvl>
  </w:abstractNum>
  <w:num w:numId="1" w16cid:durableId="1733960932">
    <w:abstractNumId w:val="8"/>
  </w:num>
  <w:num w:numId="2" w16cid:durableId="591474352">
    <w:abstractNumId w:val="6"/>
  </w:num>
  <w:num w:numId="3" w16cid:durableId="228151581">
    <w:abstractNumId w:val="5"/>
  </w:num>
  <w:num w:numId="4" w16cid:durableId="940265327">
    <w:abstractNumId w:val="4"/>
  </w:num>
  <w:num w:numId="5" w16cid:durableId="1784300385">
    <w:abstractNumId w:val="7"/>
  </w:num>
  <w:num w:numId="6" w16cid:durableId="1108431853">
    <w:abstractNumId w:val="3"/>
  </w:num>
  <w:num w:numId="7" w16cid:durableId="1430617457">
    <w:abstractNumId w:val="2"/>
  </w:num>
  <w:num w:numId="8" w16cid:durableId="261886366">
    <w:abstractNumId w:val="1"/>
  </w:num>
  <w:num w:numId="9" w16cid:durableId="1346984067">
    <w:abstractNumId w:val="0"/>
  </w:num>
  <w:num w:numId="10" w16cid:durableId="1828545775">
    <w:abstractNumId w:val="9"/>
  </w:num>
  <w:num w:numId="11" w16cid:durableId="65341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AD2"/>
    <w:rsid w:val="0029639D"/>
    <w:rsid w:val="00326F90"/>
    <w:rsid w:val="00752A3C"/>
    <w:rsid w:val="009603DF"/>
    <w:rsid w:val="00AA1D8D"/>
    <w:rsid w:val="00B04364"/>
    <w:rsid w:val="00B47730"/>
    <w:rsid w:val="00C6672E"/>
    <w:rsid w:val="00CB0664"/>
    <w:rsid w:val="00D836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046C8"/>
  <w14:defaultImageDpi w14:val="300"/>
  <w15:docId w15:val="{E4DCDE75-1E22-4637-87D4-BD828991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 w:cs="Calibri"/>
      <w:color w:val="1B1F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color w:val="0B2545"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400" w:line="264" w:lineRule="auto"/>
      <w:jc w:val="center"/>
    </w:pPr>
    <w:rPr>
      <w:rFonts w:asciiTheme="majorHAnsi" w:eastAsiaTheme="majorEastAsia" w:hAnsiTheme="majorHAnsi" w:cstheme="majorBidi"/>
      <w:iCs/>
      <w:color w:val="1F4D78"/>
      <w:spacing w:val="15"/>
      <w:sz w:val="29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20" w:line="264" w:lineRule="auto"/>
      <w:jc w:val="left"/>
    </w:pPr>
    <w:rPr>
      <w:bCs/>
      <w:i/>
      <w:color w:val="5D6875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320"/>
      <w:jc w:val="center"/>
    </w:pPr>
    <w:rPr>
      <w:rFonts w:ascii="Calibri" w:eastAsia="微软雅黑" w:hAnsi="Calibri" w:cs="Calibri"/>
      <w:b/>
      <w:color w:val="2E74B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nature.com/articles/s41467-026-68672-1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545-026-00610-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06.12045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408.0468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605.2792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1-3 研究设计与作图方案 v2</dc:title>
  <dc:subject>Evidence-aligned figure plan for the frozen D1-D6 experiment and pending D7 validation</dc:subject>
  <dc:creator/>
  <cp:keywords>Harness AI; water treatment; benchmark; D7; research design</cp:keywords>
  <dc:description>Created from the retained v1 reference; factual claims aligned to frozen run d1-d6-full-20260828-v1.</dc:description>
  <cp:lastModifiedBy>a6122</cp:lastModifiedBy>
  <cp:revision>4</cp:revision>
  <dcterms:created xsi:type="dcterms:W3CDTF">2013-12-23T23:15:00Z</dcterms:created>
  <dcterms:modified xsi:type="dcterms:W3CDTF">2026-09-03T13:02:00Z</dcterms:modified>
  <cp:category/>
</cp:coreProperties>
</file>