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DB9A44" w14:textId="10CE546D" w:rsidR="00286926" w:rsidRDefault="00286926">
      <w:pPr>
        <w:rPr>
          <w:rFonts w:ascii="Arial" w:hAnsi="Arial" w:cs="Arial"/>
          <w:b/>
          <w:sz w:val="24"/>
          <w:szCs w:val="24"/>
        </w:rPr>
      </w:pPr>
      <w:bookmarkStart w:id="0" w:name="_GoBack"/>
      <w:r w:rsidRPr="00286926">
        <w:rPr>
          <w:rFonts w:ascii="Arial" w:hAnsi="Arial" w:cs="Arial"/>
          <w:b/>
          <w:sz w:val="24"/>
          <w:szCs w:val="24"/>
        </w:rPr>
        <w:t>https://link.springer.com/article/10.1007/s10967-007-0131-3</w:t>
      </w:r>
      <w:bookmarkEnd w:id="0"/>
    </w:p>
    <w:p w14:paraId="5103CCCA" w14:textId="77777777" w:rsidR="00BA12A9" w:rsidRPr="00BA12A9" w:rsidRDefault="00C6583B">
      <w:pPr>
        <w:rPr>
          <w:rFonts w:ascii="Arial" w:hAnsi="Arial" w:cs="Arial"/>
          <w:b/>
          <w:sz w:val="24"/>
          <w:szCs w:val="24"/>
        </w:rPr>
      </w:pPr>
      <w:r w:rsidRPr="00C6583B">
        <w:rPr>
          <w:rFonts w:ascii="Arial" w:hAnsi="Arial" w:cs="Arial"/>
          <w:b/>
          <w:sz w:val="24"/>
          <w:szCs w:val="24"/>
        </w:rPr>
        <w:t>Experimental HPGe Coaxial Detector Response and Efficiency Compared to</w:t>
      </w:r>
      <w:r w:rsidR="00BA12A9">
        <w:rPr>
          <w:rFonts w:ascii="Arial" w:hAnsi="Arial" w:cs="Arial"/>
          <w:b/>
          <w:sz w:val="24"/>
          <w:szCs w:val="24"/>
        </w:rPr>
        <w:t xml:space="preserve"> Monte Carlo Simulations (Nora):</w:t>
      </w:r>
    </w:p>
    <w:p w14:paraId="19D430E2" w14:textId="77777777" w:rsidR="00BA12A9" w:rsidRDefault="00BA12A9" w:rsidP="00C6583B">
      <w:pPr>
        <w:pStyle w:val="ListParagraph"/>
        <w:numPr>
          <w:ilvl w:val="0"/>
          <w:numId w:val="1"/>
        </w:numPr>
        <w:rPr>
          <w:rFonts w:ascii="Arial" w:hAnsi="Arial" w:cs="Arial"/>
          <w:sz w:val="24"/>
          <w:szCs w:val="24"/>
        </w:rPr>
      </w:pPr>
      <w:r>
        <w:rPr>
          <w:rFonts w:ascii="Arial" w:hAnsi="Arial" w:cs="Arial"/>
          <w:sz w:val="24"/>
          <w:szCs w:val="24"/>
        </w:rPr>
        <w:t>BLUF: They only adjusted the dead layer thicknesses, and found that their were issues with matching high and low energy photons, along with poor matching at the detector edges, where the electric field in the crystal would become deteriorated.</w:t>
      </w:r>
      <w:r w:rsidR="00BB2858">
        <w:rPr>
          <w:rFonts w:ascii="Arial" w:hAnsi="Arial" w:cs="Arial"/>
          <w:sz w:val="24"/>
          <w:szCs w:val="24"/>
        </w:rPr>
        <w:t xml:space="preserve"> (doubled the inner dead layer thickness from 0.7mm to 1.4mm</w:t>
      </w:r>
    </w:p>
    <w:p w14:paraId="7C641D39" w14:textId="77777777" w:rsidR="00C6583B" w:rsidRDefault="00C6583B" w:rsidP="00C6583B">
      <w:pPr>
        <w:pStyle w:val="ListParagraph"/>
        <w:numPr>
          <w:ilvl w:val="0"/>
          <w:numId w:val="1"/>
        </w:numPr>
        <w:rPr>
          <w:rFonts w:ascii="Arial" w:hAnsi="Arial" w:cs="Arial"/>
          <w:sz w:val="24"/>
          <w:szCs w:val="24"/>
        </w:rPr>
      </w:pPr>
      <w:r>
        <w:rPr>
          <w:rFonts w:ascii="Arial" w:hAnsi="Arial" w:cs="Arial"/>
          <w:sz w:val="24"/>
          <w:szCs w:val="24"/>
        </w:rPr>
        <w:t xml:space="preserve">Adjusted just the detector dead layer, and </w:t>
      </w:r>
      <w:r w:rsidR="00C40FAE">
        <w:rPr>
          <w:rFonts w:ascii="Arial" w:hAnsi="Arial" w:cs="Arial"/>
          <w:sz w:val="24"/>
          <w:szCs w:val="24"/>
        </w:rPr>
        <w:t>the model improved, except near the rim of the detector</w:t>
      </w:r>
    </w:p>
    <w:p w14:paraId="27C20CB8" w14:textId="77777777" w:rsidR="00C40FAE" w:rsidRDefault="00C40FAE" w:rsidP="00C6583B">
      <w:pPr>
        <w:pStyle w:val="ListParagraph"/>
        <w:numPr>
          <w:ilvl w:val="0"/>
          <w:numId w:val="1"/>
        </w:numPr>
        <w:rPr>
          <w:rFonts w:ascii="Arial" w:hAnsi="Arial" w:cs="Arial"/>
          <w:sz w:val="24"/>
          <w:szCs w:val="24"/>
        </w:rPr>
      </w:pPr>
      <w:r>
        <w:rPr>
          <w:rFonts w:ascii="Arial" w:hAnsi="Arial" w:cs="Arial"/>
          <w:sz w:val="24"/>
          <w:szCs w:val="24"/>
        </w:rPr>
        <w:t>The efficiency of the detector changes with age</w:t>
      </w:r>
    </w:p>
    <w:p w14:paraId="5A6EAFCE" w14:textId="77777777" w:rsidR="00C40FAE" w:rsidRDefault="0071743A" w:rsidP="00C6583B">
      <w:pPr>
        <w:pStyle w:val="ListParagraph"/>
        <w:numPr>
          <w:ilvl w:val="0"/>
          <w:numId w:val="1"/>
        </w:numPr>
        <w:rPr>
          <w:rFonts w:ascii="Arial" w:hAnsi="Arial" w:cs="Arial"/>
          <w:sz w:val="24"/>
          <w:szCs w:val="24"/>
        </w:rPr>
      </w:pPr>
      <w:r>
        <w:rPr>
          <w:rFonts w:ascii="Arial" w:hAnsi="Arial" w:cs="Arial"/>
          <w:sz w:val="24"/>
          <w:szCs w:val="24"/>
        </w:rPr>
        <w:t>Model detector using specifications provided by the manufacturer, and compare them to the experimental results.  Then simulations were repeated by adjusting parameters till the Full Energy peak efficiencies matched over a wide range of photon energies.</w:t>
      </w:r>
    </w:p>
    <w:p w14:paraId="635B5E2E" w14:textId="77777777" w:rsidR="0071743A" w:rsidRDefault="0071743A" w:rsidP="00C6583B">
      <w:pPr>
        <w:pStyle w:val="ListParagraph"/>
        <w:numPr>
          <w:ilvl w:val="0"/>
          <w:numId w:val="1"/>
        </w:numPr>
        <w:rPr>
          <w:rFonts w:ascii="Arial" w:hAnsi="Arial" w:cs="Arial"/>
          <w:sz w:val="24"/>
          <w:szCs w:val="24"/>
        </w:rPr>
      </w:pPr>
      <w:r>
        <w:rPr>
          <w:rFonts w:ascii="Arial" w:hAnsi="Arial" w:cs="Arial"/>
          <w:sz w:val="24"/>
          <w:szCs w:val="24"/>
        </w:rPr>
        <w:t>The model had a bulletized Ge crystal with a density of 5.323 g/cm^3.</w:t>
      </w:r>
    </w:p>
    <w:p w14:paraId="4338FD93" w14:textId="77777777" w:rsidR="0071743A" w:rsidRDefault="0071743A" w:rsidP="00C6583B">
      <w:pPr>
        <w:pStyle w:val="ListParagraph"/>
        <w:numPr>
          <w:ilvl w:val="0"/>
          <w:numId w:val="1"/>
        </w:numPr>
        <w:rPr>
          <w:rFonts w:ascii="Arial" w:hAnsi="Arial" w:cs="Arial"/>
          <w:sz w:val="24"/>
          <w:szCs w:val="24"/>
        </w:rPr>
      </w:pPr>
      <w:r>
        <w:rPr>
          <w:rFonts w:ascii="Arial" w:hAnsi="Arial" w:cs="Arial"/>
          <w:sz w:val="24"/>
          <w:szCs w:val="24"/>
        </w:rPr>
        <w:t>No variance reduction technique was used.</w:t>
      </w:r>
    </w:p>
    <w:p w14:paraId="7C64DBB2" w14:textId="77777777" w:rsidR="0071743A" w:rsidRDefault="0071743A" w:rsidP="00C6583B">
      <w:pPr>
        <w:pStyle w:val="ListParagraph"/>
        <w:numPr>
          <w:ilvl w:val="0"/>
          <w:numId w:val="1"/>
        </w:numPr>
        <w:rPr>
          <w:rFonts w:ascii="Arial" w:hAnsi="Arial" w:cs="Arial"/>
          <w:sz w:val="24"/>
          <w:szCs w:val="24"/>
        </w:rPr>
      </w:pPr>
      <w:r>
        <w:rPr>
          <w:rFonts w:ascii="Arial" w:hAnsi="Arial" w:cs="Arial"/>
          <w:sz w:val="24"/>
          <w:szCs w:val="24"/>
        </w:rPr>
        <w:t>Only the dead layer thicknesses were altered.</w:t>
      </w:r>
    </w:p>
    <w:p w14:paraId="444D4010" w14:textId="77777777" w:rsidR="00BA12A9" w:rsidRDefault="00BA12A9" w:rsidP="00BA12A9">
      <w:pPr>
        <w:pStyle w:val="ListParagraph"/>
        <w:numPr>
          <w:ilvl w:val="0"/>
          <w:numId w:val="1"/>
        </w:numPr>
        <w:rPr>
          <w:rFonts w:ascii="Arial" w:hAnsi="Arial" w:cs="Arial"/>
          <w:sz w:val="24"/>
          <w:szCs w:val="24"/>
        </w:rPr>
      </w:pPr>
      <w:r>
        <w:rPr>
          <w:rFonts w:ascii="Arial" w:hAnsi="Arial" w:cs="Arial"/>
          <w:sz w:val="24"/>
          <w:szCs w:val="24"/>
        </w:rPr>
        <w:t>Center hole, will reduce efficiency for photon energies above 80 KeV</w:t>
      </w:r>
    </w:p>
    <w:p w14:paraId="629F7E27" w14:textId="77777777" w:rsidR="00BA12A9" w:rsidRDefault="00BA12A9" w:rsidP="00BA12A9">
      <w:pPr>
        <w:pStyle w:val="ListParagraph"/>
        <w:numPr>
          <w:ilvl w:val="0"/>
          <w:numId w:val="1"/>
        </w:numPr>
        <w:rPr>
          <w:rFonts w:ascii="Arial" w:hAnsi="Arial" w:cs="Arial"/>
          <w:sz w:val="24"/>
          <w:szCs w:val="24"/>
        </w:rPr>
      </w:pPr>
      <w:r>
        <w:rPr>
          <w:rFonts w:ascii="Arial" w:hAnsi="Arial" w:cs="Arial"/>
          <w:sz w:val="24"/>
          <w:szCs w:val="24"/>
        </w:rPr>
        <w:t>A change of the internal dead layer thickness from 0.7mm to 1.4 mm</w:t>
      </w:r>
    </w:p>
    <w:p w14:paraId="1BB77DEE" w14:textId="77777777" w:rsidR="00BA12A9" w:rsidRDefault="00BA12A9" w:rsidP="00BA12A9">
      <w:pPr>
        <w:pStyle w:val="ListParagraph"/>
        <w:numPr>
          <w:ilvl w:val="0"/>
          <w:numId w:val="1"/>
        </w:numPr>
        <w:rPr>
          <w:rFonts w:ascii="Arial" w:hAnsi="Arial" w:cs="Arial"/>
          <w:sz w:val="24"/>
          <w:szCs w:val="24"/>
        </w:rPr>
      </w:pPr>
      <w:r>
        <w:rPr>
          <w:rFonts w:ascii="Arial" w:hAnsi="Arial" w:cs="Arial"/>
          <w:sz w:val="24"/>
          <w:szCs w:val="24"/>
        </w:rPr>
        <w:t>Strongest disagreements, between the experimental and simulated results occurred near the edges. (More obvious for collimated scans)</w:t>
      </w:r>
    </w:p>
    <w:p w14:paraId="6966CC2E" w14:textId="77777777" w:rsidR="00BA12A9" w:rsidRDefault="00BA12A9" w:rsidP="00BA12A9">
      <w:pPr>
        <w:pStyle w:val="ListParagraph"/>
        <w:numPr>
          <w:ilvl w:val="0"/>
          <w:numId w:val="1"/>
        </w:numPr>
        <w:rPr>
          <w:rFonts w:ascii="Arial" w:hAnsi="Arial" w:cs="Arial"/>
          <w:sz w:val="24"/>
          <w:szCs w:val="24"/>
        </w:rPr>
      </w:pPr>
      <w:r>
        <w:rPr>
          <w:rFonts w:ascii="Arial" w:hAnsi="Arial" w:cs="Arial"/>
          <w:sz w:val="24"/>
          <w:szCs w:val="24"/>
        </w:rPr>
        <w:t>Some researchers have adjusted their dead layers on a photon energy case basis (Rodenas et al, 2003</w:t>
      </w:r>
      <w:proofErr w:type="gramStart"/>
      <w:r>
        <w:rPr>
          <w:rFonts w:ascii="Arial" w:hAnsi="Arial" w:cs="Arial"/>
          <w:sz w:val="24"/>
          <w:szCs w:val="24"/>
        </w:rPr>
        <w:t>,2007</w:t>
      </w:r>
      <w:proofErr w:type="gramEnd"/>
      <w:r>
        <w:rPr>
          <w:rFonts w:ascii="Arial" w:hAnsi="Arial" w:cs="Arial"/>
          <w:sz w:val="24"/>
          <w:szCs w:val="24"/>
        </w:rPr>
        <w:t>).</w:t>
      </w:r>
    </w:p>
    <w:p w14:paraId="27B3EDCF" w14:textId="77777777" w:rsidR="00BA12A9" w:rsidRDefault="00BA12A9" w:rsidP="00BA12A9">
      <w:pPr>
        <w:pStyle w:val="ListParagraph"/>
        <w:numPr>
          <w:ilvl w:val="1"/>
          <w:numId w:val="1"/>
        </w:numPr>
        <w:rPr>
          <w:rFonts w:ascii="Arial" w:hAnsi="Arial" w:cs="Arial"/>
          <w:sz w:val="24"/>
          <w:szCs w:val="24"/>
        </w:rPr>
      </w:pPr>
      <w:r>
        <w:rPr>
          <w:rFonts w:ascii="Arial" w:hAnsi="Arial" w:cs="Arial"/>
          <w:sz w:val="24"/>
          <w:szCs w:val="24"/>
        </w:rPr>
        <w:t>Stating it is impossible to find an external dead-layer thickness that reproduces experimental results for all incident photon energies</w:t>
      </w:r>
    </w:p>
    <w:p w14:paraId="3CB6E3A9" w14:textId="77777777" w:rsidR="00BA12A9" w:rsidRDefault="00BB2858" w:rsidP="00BA12A9">
      <w:pPr>
        <w:pStyle w:val="ListParagraph"/>
        <w:numPr>
          <w:ilvl w:val="0"/>
          <w:numId w:val="1"/>
        </w:numPr>
        <w:rPr>
          <w:rFonts w:ascii="Arial" w:hAnsi="Arial" w:cs="Arial"/>
          <w:sz w:val="24"/>
          <w:szCs w:val="24"/>
        </w:rPr>
      </w:pPr>
      <w:r>
        <w:rPr>
          <w:rFonts w:ascii="Arial" w:hAnsi="Arial" w:cs="Arial"/>
          <w:sz w:val="24"/>
          <w:szCs w:val="24"/>
        </w:rPr>
        <w:t>Concluded that just by changing the dead layer (and Ge crystal dimensions) the model will still not be sufficient</w:t>
      </w:r>
    </w:p>
    <w:p w14:paraId="4F488C7B" w14:textId="77777777" w:rsidR="00BB2858" w:rsidRPr="00BB2858" w:rsidRDefault="00BB2858" w:rsidP="00BB2858">
      <w:pPr>
        <w:rPr>
          <w:rFonts w:ascii="Arial" w:hAnsi="Arial" w:cs="Arial"/>
          <w:b/>
          <w:sz w:val="24"/>
          <w:szCs w:val="24"/>
        </w:rPr>
      </w:pPr>
      <w:r w:rsidRPr="00BB2858">
        <w:rPr>
          <w:rFonts w:ascii="Arial" w:hAnsi="Arial" w:cs="Arial"/>
          <w:b/>
          <w:sz w:val="24"/>
          <w:szCs w:val="24"/>
        </w:rPr>
        <w:t>Radiation Detection and Measurement (Glenn F. Knoll):</w:t>
      </w:r>
      <w:r>
        <w:rPr>
          <w:rFonts w:ascii="Arial" w:hAnsi="Arial" w:cs="Arial"/>
          <w:b/>
          <w:sz w:val="24"/>
          <w:szCs w:val="24"/>
        </w:rPr>
        <w:t xml:space="preserve"> Chapter 12</w:t>
      </w:r>
    </w:p>
    <w:p w14:paraId="2D422C77" w14:textId="77777777" w:rsidR="00BB2858" w:rsidRDefault="00BB2858" w:rsidP="00BB2858">
      <w:pPr>
        <w:pStyle w:val="ListParagraph"/>
        <w:numPr>
          <w:ilvl w:val="0"/>
          <w:numId w:val="2"/>
        </w:numPr>
        <w:rPr>
          <w:rFonts w:ascii="Arial" w:hAnsi="Arial" w:cs="Arial"/>
          <w:sz w:val="24"/>
          <w:szCs w:val="24"/>
        </w:rPr>
      </w:pPr>
      <w:r>
        <w:rPr>
          <w:rFonts w:ascii="Arial" w:hAnsi="Arial" w:cs="Arial"/>
          <w:sz w:val="24"/>
          <w:szCs w:val="24"/>
        </w:rPr>
        <w:t>Surface dead layer: In reality, gamma rays of energies above 200 keV, can ignore the effects of the dead layer, in regards to attenuation.  The dead layer, however, still reduces the active volume.</w:t>
      </w:r>
    </w:p>
    <w:p w14:paraId="5EB0ACA4" w14:textId="77777777" w:rsidR="00BB2858" w:rsidRDefault="00BB2858" w:rsidP="00BB2858">
      <w:pPr>
        <w:pStyle w:val="ListParagraph"/>
        <w:numPr>
          <w:ilvl w:val="0"/>
          <w:numId w:val="2"/>
        </w:numPr>
        <w:rPr>
          <w:rFonts w:ascii="Arial" w:hAnsi="Arial" w:cs="Arial"/>
          <w:sz w:val="24"/>
          <w:szCs w:val="24"/>
        </w:rPr>
      </w:pPr>
      <w:r>
        <w:rPr>
          <w:rFonts w:ascii="Arial" w:hAnsi="Arial" w:cs="Arial"/>
          <w:sz w:val="24"/>
          <w:szCs w:val="24"/>
        </w:rPr>
        <w:t>The surface dead layer, on Ge detectors, may vary slowly over periods of time, because of the formation of surface channels.  This is where the electric field and charge collection efficiency are reduced.</w:t>
      </w:r>
    </w:p>
    <w:p w14:paraId="3ADC007F" w14:textId="77777777" w:rsidR="002A2CAD" w:rsidRDefault="002A2CAD" w:rsidP="00BB2858">
      <w:pPr>
        <w:pStyle w:val="ListParagraph"/>
        <w:numPr>
          <w:ilvl w:val="0"/>
          <w:numId w:val="2"/>
        </w:numPr>
        <w:rPr>
          <w:rFonts w:ascii="Arial" w:hAnsi="Arial" w:cs="Arial"/>
          <w:sz w:val="24"/>
          <w:szCs w:val="24"/>
        </w:rPr>
      </w:pPr>
      <w:r>
        <w:rPr>
          <w:rFonts w:ascii="Arial" w:hAnsi="Arial" w:cs="Arial"/>
          <w:sz w:val="24"/>
          <w:szCs w:val="24"/>
        </w:rPr>
        <w:t>Coaxial HPGe’s can be produced with larger active volumes, and the fillet edges help smooth out the charge collection flow, from interacting photons.</w:t>
      </w:r>
    </w:p>
    <w:p w14:paraId="250BD7B6" w14:textId="77777777" w:rsidR="002A2CAD" w:rsidRDefault="002A2CAD" w:rsidP="002A2CAD">
      <w:pPr>
        <w:pStyle w:val="ListParagraph"/>
        <w:numPr>
          <w:ilvl w:val="1"/>
          <w:numId w:val="2"/>
        </w:numPr>
        <w:rPr>
          <w:rFonts w:ascii="Arial" w:hAnsi="Arial" w:cs="Arial"/>
          <w:sz w:val="24"/>
          <w:szCs w:val="24"/>
        </w:rPr>
      </w:pPr>
      <w:r>
        <w:rPr>
          <w:rFonts w:ascii="Arial" w:hAnsi="Arial" w:cs="Arial"/>
          <w:sz w:val="24"/>
          <w:szCs w:val="24"/>
        </w:rPr>
        <w:t>The closed end configuration helps lower leakeage currents on the front surface, along with providing a planar front surface where a special entrance window can be applied for lower energy/weakly penetrating radiation.</w:t>
      </w:r>
    </w:p>
    <w:p w14:paraId="525F3736" w14:textId="77777777" w:rsidR="002A2CAD" w:rsidRDefault="002A2CAD" w:rsidP="002A2CAD">
      <w:pPr>
        <w:pStyle w:val="ListParagraph"/>
        <w:numPr>
          <w:ilvl w:val="1"/>
          <w:numId w:val="2"/>
        </w:numPr>
        <w:rPr>
          <w:rFonts w:ascii="Arial" w:hAnsi="Arial" w:cs="Arial"/>
          <w:sz w:val="24"/>
          <w:szCs w:val="24"/>
        </w:rPr>
      </w:pPr>
      <w:r>
        <w:rPr>
          <w:rFonts w:ascii="Arial" w:hAnsi="Arial" w:cs="Arial"/>
          <w:sz w:val="24"/>
          <w:szCs w:val="24"/>
        </w:rPr>
        <w:lastRenderedPageBreak/>
        <w:t>However, areas of reduced field strength occur in this configuration, compared to a true full coaxial crystal</w:t>
      </w:r>
    </w:p>
    <w:p w14:paraId="29D5E125" w14:textId="77777777" w:rsidR="002A2CAD" w:rsidRDefault="002A2CAD" w:rsidP="002A2CAD">
      <w:pPr>
        <w:pStyle w:val="ListParagraph"/>
        <w:numPr>
          <w:ilvl w:val="0"/>
          <w:numId w:val="2"/>
        </w:numPr>
        <w:rPr>
          <w:rFonts w:ascii="Arial" w:hAnsi="Arial" w:cs="Arial"/>
          <w:sz w:val="24"/>
          <w:szCs w:val="24"/>
        </w:rPr>
      </w:pPr>
      <w:r>
        <w:rPr>
          <w:rFonts w:ascii="Arial" w:hAnsi="Arial" w:cs="Arial"/>
          <w:sz w:val="24"/>
          <w:szCs w:val="24"/>
        </w:rPr>
        <w:t>The main photon interactions in a Ge crystal are: Photoelectric effect (what we want), Compton scatter (scattering of a photon, before PE absorption), and pair production (produces .511 MeV peak). Figuer 12.17 in Knoll’s shows the fraction of FEP, for each type of interaction as a function of energy.</w:t>
      </w:r>
    </w:p>
    <w:p w14:paraId="0D2B09B5" w14:textId="77777777" w:rsidR="002A2CAD" w:rsidRDefault="00E64023" w:rsidP="002A2CAD">
      <w:pPr>
        <w:pStyle w:val="ListParagraph"/>
        <w:numPr>
          <w:ilvl w:val="0"/>
          <w:numId w:val="2"/>
        </w:numPr>
        <w:rPr>
          <w:rFonts w:ascii="Arial" w:hAnsi="Arial" w:cs="Arial"/>
          <w:sz w:val="24"/>
          <w:szCs w:val="24"/>
        </w:rPr>
      </w:pPr>
      <w:r>
        <w:rPr>
          <w:rFonts w:ascii="Arial" w:hAnsi="Arial" w:cs="Arial"/>
          <w:sz w:val="24"/>
          <w:szCs w:val="24"/>
        </w:rPr>
        <w:t>It is important to account for secondary radiation ** as of now we are removing electrons from the model** but can easily add them back in.</w:t>
      </w:r>
    </w:p>
    <w:p w14:paraId="4720203F" w14:textId="77777777" w:rsidR="00E64023" w:rsidRDefault="00E64023" w:rsidP="002A2CAD">
      <w:pPr>
        <w:pStyle w:val="ListParagraph"/>
        <w:numPr>
          <w:ilvl w:val="0"/>
          <w:numId w:val="2"/>
        </w:numPr>
        <w:rPr>
          <w:rFonts w:ascii="Arial" w:hAnsi="Arial" w:cs="Arial"/>
          <w:sz w:val="24"/>
          <w:szCs w:val="24"/>
        </w:rPr>
      </w:pPr>
      <w:r>
        <w:rPr>
          <w:rFonts w:ascii="Arial" w:hAnsi="Arial" w:cs="Arial"/>
          <w:sz w:val="24"/>
          <w:szCs w:val="24"/>
        </w:rPr>
        <w:t>N-type detectors perform better at lower photon energies</w:t>
      </w:r>
    </w:p>
    <w:p w14:paraId="3681F345" w14:textId="77777777" w:rsidR="00E64023" w:rsidRDefault="00E64023" w:rsidP="00E64023">
      <w:pPr>
        <w:pStyle w:val="ListParagraph"/>
        <w:numPr>
          <w:ilvl w:val="1"/>
          <w:numId w:val="2"/>
        </w:numPr>
        <w:rPr>
          <w:rFonts w:ascii="Arial" w:hAnsi="Arial" w:cs="Arial"/>
          <w:sz w:val="24"/>
          <w:szCs w:val="24"/>
        </w:rPr>
      </w:pPr>
      <w:r>
        <w:rPr>
          <w:rFonts w:ascii="Arial" w:hAnsi="Arial" w:cs="Arial"/>
          <w:sz w:val="24"/>
          <w:szCs w:val="24"/>
        </w:rPr>
        <w:t>Low energy photons below 150 keV tend to be absorbed/attenuated by the dead layer.</w:t>
      </w:r>
    </w:p>
    <w:p w14:paraId="325E6480" w14:textId="77777777" w:rsidR="00E64023" w:rsidRDefault="00E64023" w:rsidP="00E64023">
      <w:pPr>
        <w:pStyle w:val="ListParagraph"/>
        <w:numPr>
          <w:ilvl w:val="1"/>
          <w:numId w:val="2"/>
        </w:numPr>
        <w:rPr>
          <w:rFonts w:ascii="Arial" w:hAnsi="Arial" w:cs="Arial"/>
          <w:sz w:val="24"/>
          <w:szCs w:val="24"/>
        </w:rPr>
      </w:pPr>
      <w:r>
        <w:rPr>
          <w:rFonts w:ascii="Arial" w:hAnsi="Arial" w:cs="Arial"/>
          <w:sz w:val="24"/>
          <w:szCs w:val="24"/>
        </w:rPr>
        <w:t>N-type detectors are able to take advantage of this 100keV region, where the PE effect dominates over Compton scatter</w:t>
      </w:r>
    </w:p>
    <w:p w14:paraId="6A425272" w14:textId="77777777" w:rsidR="00E64023" w:rsidRDefault="00E64023" w:rsidP="00E64023">
      <w:pPr>
        <w:pStyle w:val="ListParagraph"/>
        <w:numPr>
          <w:ilvl w:val="0"/>
          <w:numId w:val="2"/>
        </w:numPr>
        <w:rPr>
          <w:rFonts w:ascii="Arial" w:hAnsi="Arial" w:cs="Arial"/>
          <w:sz w:val="24"/>
          <w:szCs w:val="24"/>
        </w:rPr>
      </w:pPr>
      <w:r>
        <w:rPr>
          <w:rFonts w:ascii="Arial" w:hAnsi="Arial" w:cs="Arial"/>
          <w:sz w:val="24"/>
          <w:szCs w:val="24"/>
        </w:rPr>
        <w:t>Read page 485 for a possible experimental fit: equation 12.32</w:t>
      </w:r>
    </w:p>
    <w:p w14:paraId="0D61D85A" w14:textId="77777777" w:rsidR="00E64023" w:rsidRDefault="00E64023" w:rsidP="00E64023">
      <w:pPr>
        <w:pStyle w:val="ListParagraph"/>
        <w:numPr>
          <w:ilvl w:val="0"/>
          <w:numId w:val="2"/>
        </w:numPr>
        <w:rPr>
          <w:rFonts w:ascii="Arial" w:hAnsi="Arial" w:cs="Arial"/>
          <w:sz w:val="24"/>
          <w:szCs w:val="24"/>
        </w:rPr>
      </w:pPr>
      <w:r>
        <w:rPr>
          <w:rFonts w:ascii="Arial" w:hAnsi="Arial" w:cs="Arial"/>
          <w:sz w:val="24"/>
          <w:szCs w:val="24"/>
        </w:rPr>
        <w:t xml:space="preserve">Between 50 </w:t>
      </w:r>
      <w:proofErr w:type="gramStart"/>
      <w:r>
        <w:rPr>
          <w:rFonts w:ascii="Arial" w:hAnsi="Arial" w:cs="Arial"/>
          <w:sz w:val="24"/>
          <w:szCs w:val="24"/>
        </w:rPr>
        <w:t>kev</w:t>
      </w:r>
      <w:proofErr w:type="gramEnd"/>
      <w:r>
        <w:rPr>
          <w:rFonts w:ascii="Arial" w:hAnsi="Arial" w:cs="Arial"/>
          <w:sz w:val="24"/>
          <w:szCs w:val="24"/>
        </w:rPr>
        <w:t xml:space="preserve"> to 1.4 Mev it has been possible to construct an efficiency curve with an accuracy of bout 0.2% using monte Carlo models.</w:t>
      </w:r>
    </w:p>
    <w:p w14:paraId="7DB5AE9D" w14:textId="77777777" w:rsidR="00E64023" w:rsidRDefault="00E64023" w:rsidP="00E64023">
      <w:pPr>
        <w:pStyle w:val="ListParagraph"/>
        <w:numPr>
          <w:ilvl w:val="0"/>
          <w:numId w:val="2"/>
        </w:numPr>
        <w:rPr>
          <w:rFonts w:ascii="Arial" w:hAnsi="Arial" w:cs="Arial"/>
          <w:sz w:val="24"/>
          <w:szCs w:val="24"/>
        </w:rPr>
      </w:pPr>
      <w:r>
        <w:rPr>
          <w:rFonts w:ascii="Arial" w:hAnsi="Arial" w:cs="Arial"/>
          <w:sz w:val="24"/>
          <w:szCs w:val="24"/>
        </w:rPr>
        <w:t>Formula for Absolute Efficiency:</w:t>
      </w:r>
    </w:p>
    <w:p w14:paraId="3DF8A689" w14:textId="77777777" w:rsidR="008B75F1" w:rsidRPr="008B75F1" w:rsidRDefault="00F75C41" w:rsidP="00F75C41">
      <w:pPr>
        <w:pStyle w:val="BodyText"/>
        <w:ind w:left="720" w:firstLine="0"/>
        <w:contextualSpacing/>
        <w:jc w:val="both"/>
      </w:pPr>
      <w:r>
        <w:t>“</w:t>
      </w:r>
      <w:r w:rsidR="008B75F1" w:rsidRPr="008B75F1">
        <w:t xml:space="preserve">The Institute of Electrical and Electronics Engineers (IEEE) 325-1996 specifies the counting efficiency using a </w:t>
      </w:r>
      <w:r w:rsidR="008B75F1" w:rsidRPr="008B75F1">
        <w:rPr>
          <w:vertAlign w:val="superscript"/>
        </w:rPr>
        <w:t>60</w:t>
      </w:r>
      <w:r w:rsidR="008B75F1" w:rsidRPr="008B75F1">
        <w:t>Co point source placed 25 cm away from the front face of the detector, as:</w:t>
      </w:r>
      <w:sdt>
        <w:sdtPr>
          <w:id w:val="1255939592"/>
          <w:citation/>
        </w:sdtPr>
        <w:sdtEndPr/>
        <w:sdtContent>
          <w:r w:rsidR="008B75F1" w:rsidRPr="008B75F1">
            <w:fldChar w:fldCharType="begin"/>
          </w:r>
          <w:r w:rsidR="008B75F1" w:rsidRPr="008B75F1">
            <w:instrText xml:space="preserve"> CITATION IEE96 \l 1033 </w:instrText>
          </w:r>
          <w:r w:rsidR="008B75F1" w:rsidRPr="008B75F1">
            <w:fldChar w:fldCharType="separate"/>
          </w:r>
          <w:r w:rsidR="008B75F1" w:rsidRPr="008B75F1">
            <w:rPr>
              <w:noProof/>
            </w:rPr>
            <w:t xml:space="preserve"> [3]</w:t>
          </w:r>
          <w:r w:rsidR="008B75F1" w:rsidRPr="008B75F1">
            <w:fldChar w:fldCharType="end"/>
          </w:r>
        </w:sdtContent>
      </w:sdt>
    </w:p>
    <w:p w14:paraId="0719A606" w14:textId="77777777" w:rsidR="008B75F1" w:rsidRPr="008B75F1" w:rsidRDefault="008B75F1" w:rsidP="008B75F1">
      <w:pPr>
        <w:spacing w:before="60" w:after="120" w:line="240" w:lineRule="auto"/>
        <w:contextualSpacing/>
        <w:jc w:val="both"/>
        <w:rPr>
          <w:rFonts w:ascii="Times New Roman" w:eastAsia="Times New Roman" w:hAnsi="Times New Roman" w:cs="Times New Roman"/>
          <w:szCs w:val="20"/>
        </w:rPr>
      </w:pPr>
    </w:p>
    <w:tbl>
      <w:tblPr>
        <w:tblW w:w="0" w:type="auto"/>
        <w:tblLook w:val="04A0" w:firstRow="1" w:lastRow="0" w:firstColumn="1" w:lastColumn="0" w:noHBand="0" w:noVBand="1"/>
      </w:tblPr>
      <w:tblGrid>
        <w:gridCol w:w="7828"/>
        <w:gridCol w:w="1532"/>
      </w:tblGrid>
      <w:tr w:rsidR="008B75F1" w:rsidRPr="008B75F1" w14:paraId="724B6FC4" w14:textId="77777777" w:rsidTr="00CE6D72">
        <w:tc>
          <w:tcPr>
            <w:tcW w:w="7835" w:type="dxa"/>
            <w:tcMar>
              <w:left w:w="0" w:type="dxa"/>
              <w:right w:w="0" w:type="dxa"/>
            </w:tcMar>
          </w:tcPr>
          <w:p w14:paraId="7E02D5E5" w14:textId="77777777" w:rsidR="008B75F1" w:rsidRPr="008B75F1" w:rsidRDefault="008B75F1" w:rsidP="008B75F1">
            <w:pPr>
              <w:tabs>
                <w:tab w:val="center" w:pos="4685"/>
              </w:tabs>
              <w:spacing w:before="60" w:after="120" w:line="240" w:lineRule="auto"/>
              <w:contextualSpacing/>
              <w:rPr>
                <w:rFonts w:ascii="Times New Roman" w:eastAsia="Times New Roman" w:hAnsi="Times New Roman" w:cs="Times New Roman"/>
                <w:szCs w:val="20"/>
              </w:rPr>
            </w:pPr>
            <w:r w:rsidRPr="008B75F1">
              <w:rPr>
                <w:rFonts w:ascii="Times New Roman" w:eastAsia="Times New Roman" w:hAnsi="Times New Roman" w:cs="Times New Roman"/>
                <w:szCs w:val="20"/>
              </w:rPr>
              <w:tab/>
            </w:r>
            <m:oMath>
              <m:sSub>
                <m:sSubPr>
                  <m:ctrlPr>
                    <w:rPr>
                      <w:rFonts w:ascii="Cambria Math" w:eastAsia="Times New Roman" w:hAnsi="Cambria Math" w:cs="Times New Roman"/>
                      <w:i/>
                    </w:rPr>
                  </m:ctrlPr>
                </m:sSubPr>
                <m:e>
                  <m:r>
                    <w:rPr>
                      <w:rFonts w:ascii="Cambria Math" w:eastAsia="Times New Roman" w:hAnsi="Cambria Math" w:cs="Times New Roman"/>
                    </w:rPr>
                    <m:t>ε</m:t>
                  </m:r>
                </m:e>
                <m:sub>
                  <m:r>
                    <w:rPr>
                      <w:rFonts w:ascii="Cambria Math" w:eastAsia="Times New Roman" w:hAnsi="Cambria Math" w:cs="Times New Roman"/>
                    </w:rPr>
                    <m:t>a</m:t>
                  </m:r>
                </m:sub>
              </m:sSub>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A</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den>
              </m:f>
              <m:r>
                <w:rPr>
                  <w:rFonts w:ascii="Cambria Math" w:eastAsia="Times New Roman" w:hAnsi="Cambria Math" w:cs="Times New Roman"/>
                </w:rPr>
                <m:t xml:space="preserve">*100 </m:t>
              </m:r>
              <m:d>
                <m:dPr>
                  <m:begChr m:val="["/>
                  <m:endChr m:val="]"/>
                  <m:ctrlPr>
                    <w:rPr>
                      <w:rFonts w:ascii="Cambria Math" w:eastAsia="Times New Roman" w:hAnsi="Cambria Math" w:cs="Times New Roman"/>
                      <w:i/>
                    </w:rPr>
                  </m:ctrlPr>
                </m:dPr>
                <m:e>
                  <m:r>
                    <w:rPr>
                      <w:rFonts w:ascii="Cambria Math" w:eastAsia="Times New Roman" w:hAnsi="Cambria Math" w:cs="Times New Roman"/>
                    </w:rPr>
                    <m:t>%</m:t>
                  </m:r>
                </m:e>
              </m:d>
            </m:oMath>
          </w:p>
        </w:tc>
        <w:tc>
          <w:tcPr>
            <w:tcW w:w="1535" w:type="dxa"/>
            <w:tcMar>
              <w:left w:w="0" w:type="dxa"/>
              <w:right w:w="0" w:type="dxa"/>
            </w:tcMar>
            <w:vAlign w:val="center"/>
          </w:tcPr>
          <w:p w14:paraId="4DD4A85A" w14:textId="77777777" w:rsidR="008B75F1" w:rsidRPr="008B75F1" w:rsidRDefault="008B75F1" w:rsidP="008B75F1">
            <w:pPr>
              <w:spacing w:after="200" w:line="240" w:lineRule="auto"/>
              <w:contextualSpacing/>
              <w:jc w:val="center"/>
              <w:rPr>
                <w:rFonts w:ascii="Times New Roman" w:eastAsia="Times New Roman" w:hAnsi="Times New Roman" w:cs="Times New Roman"/>
                <w:iCs/>
                <w:color w:val="1F497D"/>
                <w:sz w:val="18"/>
                <w:szCs w:val="18"/>
              </w:rPr>
            </w:pPr>
            <w:r w:rsidRPr="008B75F1">
              <w:rPr>
                <w:rFonts w:ascii="Times New Roman" w:eastAsia="Times New Roman" w:hAnsi="Times New Roman" w:cs="Times New Roman"/>
                <w:iCs/>
                <w:color w:val="000000"/>
                <w:szCs w:val="18"/>
              </w:rPr>
              <w:t xml:space="preserve">Eq.  </w:t>
            </w:r>
            <w:r w:rsidRPr="008B75F1">
              <w:rPr>
                <w:rFonts w:ascii="Times New Roman" w:eastAsia="Times New Roman" w:hAnsi="Times New Roman" w:cs="Times New Roman"/>
                <w:iCs/>
                <w:color w:val="000000"/>
                <w:szCs w:val="18"/>
              </w:rPr>
              <w:fldChar w:fldCharType="begin"/>
            </w:r>
            <w:r w:rsidRPr="008B75F1">
              <w:rPr>
                <w:rFonts w:ascii="Times New Roman" w:eastAsia="Times New Roman" w:hAnsi="Times New Roman" w:cs="Times New Roman"/>
                <w:iCs/>
                <w:color w:val="000000"/>
                <w:szCs w:val="18"/>
              </w:rPr>
              <w:instrText xml:space="preserve"> SEQ Eq._ \* ARABIC </w:instrText>
            </w:r>
            <w:r w:rsidRPr="008B75F1">
              <w:rPr>
                <w:rFonts w:ascii="Times New Roman" w:eastAsia="Times New Roman" w:hAnsi="Times New Roman" w:cs="Times New Roman"/>
                <w:iCs/>
                <w:color w:val="000000"/>
                <w:szCs w:val="18"/>
              </w:rPr>
              <w:fldChar w:fldCharType="separate"/>
            </w:r>
            <w:r w:rsidRPr="008B75F1">
              <w:rPr>
                <w:rFonts w:ascii="Times New Roman" w:eastAsia="Times New Roman" w:hAnsi="Times New Roman" w:cs="Times New Roman"/>
                <w:iCs/>
                <w:noProof/>
                <w:color w:val="000000"/>
                <w:szCs w:val="18"/>
              </w:rPr>
              <w:t>1</w:t>
            </w:r>
            <w:r w:rsidRPr="008B75F1">
              <w:rPr>
                <w:rFonts w:ascii="Times New Roman" w:eastAsia="Times New Roman" w:hAnsi="Times New Roman" w:cs="Times New Roman"/>
                <w:iCs/>
                <w:color w:val="000000"/>
                <w:szCs w:val="18"/>
              </w:rPr>
              <w:fldChar w:fldCharType="end"/>
            </w:r>
          </w:p>
        </w:tc>
      </w:tr>
    </w:tbl>
    <w:p w14:paraId="530BA1B2" w14:textId="77777777" w:rsidR="008B75F1" w:rsidRPr="008B75F1" w:rsidRDefault="008B75F1" w:rsidP="008B75F1">
      <w:pPr>
        <w:spacing w:before="60" w:after="120" w:line="240" w:lineRule="auto"/>
        <w:contextualSpacing/>
        <w:jc w:val="both"/>
        <w:rPr>
          <w:rFonts w:ascii="Times New Roman" w:eastAsia="Times New Roman" w:hAnsi="Times New Roman" w:cs="Times New Roman"/>
          <w:szCs w:val="20"/>
        </w:rPr>
      </w:pPr>
    </w:p>
    <w:p w14:paraId="00470E4C" w14:textId="77777777" w:rsidR="008B75F1" w:rsidRPr="008B75F1" w:rsidRDefault="008B75F1" w:rsidP="008B75F1">
      <w:pPr>
        <w:spacing w:after="0" w:line="240" w:lineRule="auto"/>
        <w:contextualSpacing/>
        <w:rPr>
          <w:rFonts w:ascii="Times New Roman" w:eastAsia="Times New Roman" w:hAnsi="Times New Roman" w:cs="Times New Roman"/>
        </w:rPr>
      </w:pPr>
      <w:r w:rsidRPr="008B75F1">
        <w:rPr>
          <w:rFonts w:ascii="Times New Roman" w:eastAsia="Times New Roman" w:hAnsi="Times New Roman" w:cs="Times New Roman"/>
        </w:rPr>
        <w:t>Where A is the total counts in the fitted full-energy peak, N</w:t>
      </w:r>
      <w:r w:rsidRPr="008B75F1">
        <w:rPr>
          <w:rFonts w:ascii="Times New Roman" w:eastAsia="Times New Roman" w:hAnsi="Times New Roman" w:cs="Times New Roman"/>
          <w:vertAlign w:val="subscript"/>
        </w:rPr>
        <w:t>s</w:t>
      </w:r>
      <w:r w:rsidRPr="008B75F1">
        <w:rPr>
          <w:rFonts w:ascii="Times New Roman" w:eastAsia="Times New Roman" w:hAnsi="Times New Roman" w:cs="Times New Roman"/>
        </w:rPr>
        <w:t xml:space="preserve"> is the total number of 1332.5 keV photons emitted by the source during the live time which is equal to:</w:t>
      </w:r>
    </w:p>
    <w:p w14:paraId="40FC2AEA" w14:textId="77777777" w:rsidR="008B75F1" w:rsidRPr="008B75F1" w:rsidRDefault="008B75F1" w:rsidP="008B75F1">
      <w:pPr>
        <w:spacing w:after="0" w:line="240" w:lineRule="auto"/>
        <w:contextualSpacing/>
        <w:rPr>
          <w:rFonts w:ascii="Times New Roman" w:eastAsia="Times New Roman" w:hAnsi="Times New Roman" w:cs="Times New Roman"/>
        </w:rPr>
      </w:pPr>
    </w:p>
    <w:tbl>
      <w:tblPr>
        <w:tblW w:w="0" w:type="auto"/>
        <w:tblLook w:val="04A0" w:firstRow="1" w:lastRow="0" w:firstColumn="1" w:lastColumn="0" w:noHBand="0" w:noVBand="1"/>
      </w:tblPr>
      <w:tblGrid>
        <w:gridCol w:w="7827"/>
        <w:gridCol w:w="1533"/>
      </w:tblGrid>
      <w:tr w:rsidR="008B75F1" w:rsidRPr="008B75F1" w14:paraId="71F81E51" w14:textId="77777777" w:rsidTr="00CE6D72">
        <w:tc>
          <w:tcPr>
            <w:tcW w:w="7835" w:type="dxa"/>
            <w:tcMar>
              <w:left w:w="0" w:type="dxa"/>
              <w:right w:w="0" w:type="dxa"/>
            </w:tcMar>
          </w:tcPr>
          <w:p w14:paraId="25071A6B" w14:textId="77777777" w:rsidR="008B75F1" w:rsidRPr="008B75F1" w:rsidRDefault="008B75F1" w:rsidP="008B75F1">
            <w:pPr>
              <w:tabs>
                <w:tab w:val="center" w:pos="4685"/>
              </w:tabs>
              <w:spacing w:before="60" w:after="120" w:line="240" w:lineRule="auto"/>
              <w:contextualSpacing/>
              <w:rPr>
                <w:rFonts w:ascii="Times New Roman" w:eastAsia="Times New Roman" w:hAnsi="Times New Roman" w:cs="Times New Roman"/>
                <w:szCs w:val="20"/>
              </w:rPr>
            </w:pPr>
            <w:r w:rsidRPr="008B75F1">
              <w:rPr>
                <w:rFonts w:ascii="Times New Roman" w:eastAsia="Times New Roman" w:hAnsi="Times New Roman" w:cs="Times New Roman"/>
                <w:szCs w:val="20"/>
              </w:rPr>
              <w:tab/>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ln2</m:t>
                      </m:r>
                    </m:num>
                    <m:den>
                      <m:sSub>
                        <m:sSubPr>
                          <m:ctrlPr>
                            <w:rPr>
                              <w:rFonts w:ascii="Cambria Math" w:eastAsia="Times New Roman" w:hAnsi="Cambria Math" w:cs="Times New Roman"/>
                              <w:i/>
                            </w:rPr>
                          </m:ctrlPr>
                        </m:sSubPr>
                        <m:e>
                          <m:r>
                            <w:rPr>
                              <w:rFonts w:ascii="Cambria Math" w:eastAsia="Times New Roman" w:hAnsi="Cambria Math" w:cs="Times New Roman"/>
                            </w:rPr>
                            <m:t>t</m:t>
                          </m:r>
                        </m:e>
                        <m:sub>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sub>
                      </m:sSub>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sup>
              </m:sSup>
              <m:r>
                <w:rPr>
                  <w:rFonts w:ascii="Cambria Math" w:eastAsia="Times New Roman" w:hAnsi="Cambria Math" w:cs="Times New Roman"/>
                </w:rPr>
                <m:t>*γ*</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L</m:t>
                  </m:r>
                </m:sub>
              </m:sSub>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r>
                    <w:rPr>
                      <w:rFonts w:ascii="Cambria Math" w:eastAsia="Times New Roman" w:hAnsi="Cambria Math" w:cs="Times New Roman"/>
                    </w:rPr>
                    <m:t>counts</m:t>
                  </m:r>
                </m:e>
              </m:d>
            </m:oMath>
          </w:p>
        </w:tc>
        <w:tc>
          <w:tcPr>
            <w:tcW w:w="1535" w:type="dxa"/>
            <w:tcMar>
              <w:left w:w="0" w:type="dxa"/>
              <w:right w:w="0" w:type="dxa"/>
            </w:tcMar>
            <w:vAlign w:val="center"/>
          </w:tcPr>
          <w:p w14:paraId="1C8D40B5" w14:textId="77777777" w:rsidR="008B75F1" w:rsidRPr="008B75F1" w:rsidRDefault="008B75F1" w:rsidP="008B75F1">
            <w:pPr>
              <w:spacing w:after="200" w:line="240" w:lineRule="auto"/>
              <w:contextualSpacing/>
              <w:jc w:val="center"/>
              <w:rPr>
                <w:rFonts w:ascii="Times New Roman" w:eastAsia="Times New Roman" w:hAnsi="Times New Roman" w:cs="Times New Roman"/>
                <w:iCs/>
                <w:color w:val="1F497D"/>
                <w:sz w:val="18"/>
                <w:szCs w:val="18"/>
              </w:rPr>
            </w:pPr>
            <w:r w:rsidRPr="008B75F1">
              <w:rPr>
                <w:rFonts w:ascii="Times New Roman" w:eastAsia="Times New Roman" w:hAnsi="Times New Roman" w:cs="Times New Roman"/>
                <w:iCs/>
                <w:color w:val="000000"/>
                <w:szCs w:val="18"/>
              </w:rPr>
              <w:t xml:space="preserve">Eq.  </w:t>
            </w:r>
            <w:r w:rsidRPr="008B75F1">
              <w:rPr>
                <w:rFonts w:ascii="Times New Roman" w:eastAsia="Times New Roman" w:hAnsi="Times New Roman" w:cs="Times New Roman"/>
                <w:iCs/>
                <w:color w:val="000000"/>
                <w:szCs w:val="18"/>
              </w:rPr>
              <w:fldChar w:fldCharType="begin"/>
            </w:r>
            <w:r w:rsidRPr="008B75F1">
              <w:rPr>
                <w:rFonts w:ascii="Times New Roman" w:eastAsia="Times New Roman" w:hAnsi="Times New Roman" w:cs="Times New Roman"/>
                <w:iCs/>
                <w:color w:val="000000"/>
                <w:szCs w:val="18"/>
              </w:rPr>
              <w:instrText xml:space="preserve"> SEQ Eq._ \* ARABIC </w:instrText>
            </w:r>
            <w:r w:rsidRPr="008B75F1">
              <w:rPr>
                <w:rFonts w:ascii="Times New Roman" w:eastAsia="Times New Roman" w:hAnsi="Times New Roman" w:cs="Times New Roman"/>
                <w:iCs/>
                <w:color w:val="000000"/>
                <w:szCs w:val="18"/>
              </w:rPr>
              <w:fldChar w:fldCharType="separate"/>
            </w:r>
            <w:r w:rsidRPr="008B75F1">
              <w:rPr>
                <w:rFonts w:ascii="Times New Roman" w:eastAsia="Times New Roman" w:hAnsi="Times New Roman" w:cs="Times New Roman"/>
                <w:iCs/>
                <w:noProof/>
                <w:color w:val="000000"/>
                <w:szCs w:val="18"/>
              </w:rPr>
              <w:t>2</w:t>
            </w:r>
            <w:r w:rsidRPr="008B75F1">
              <w:rPr>
                <w:rFonts w:ascii="Times New Roman" w:eastAsia="Times New Roman" w:hAnsi="Times New Roman" w:cs="Times New Roman"/>
                <w:iCs/>
                <w:color w:val="000000"/>
                <w:szCs w:val="18"/>
              </w:rPr>
              <w:fldChar w:fldCharType="end"/>
            </w:r>
          </w:p>
        </w:tc>
      </w:tr>
    </w:tbl>
    <w:p w14:paraId="56AFFCF7" w14:textId="77777777" w:rsidR="008B75F1" w:rsidRPr="008B75F1" w:rsidRDefault="008B75F1" w:rsidP="008B75F1">
      <w:pPr>
        <w:spacing w:after="0" w:line="240" w:lineRule="auto"/>
        <w:contextualSpacing/>
        <w:rPr>
          <w:rFonts w:ascii="Times New Roman" w:eastAsia="Times New Roman" w:hAnsi="Times New Roman" w:cs="Times New Roman"/>
        </w:rPr>
      </w:pPr>
    </w:p>
    <w:p w14:paraId="38886D2B" w14:textId="77777777" w:rsidR="008B75F1" w:rsidRPr="008B75F1" w:rsidRDefault="008B75F1" w:rsidP="008B75F1">
      <w:pPr>
        <w:spacing w:after="0" w:line="240" w:lineRule="auto"/>
        <w:contextualSpacing/>
        <w:rPr>
          <w:rFonts w:ascii="Times New Roman" w:eastAsia="Times New Roman" w:hAnsi="Times New Roman" w:cs="Times New Roman"/>
        </w:rPr>
      </w:pPr>
      <w:r w:rsidRPr="008B75F1">
        <w:rPr>
          <w:rFonts w:ascii="Times New Roman" w:eastAsia="Times New Roman" w:hAnsi="Times New Roman" w:cs="Times New Roman"/>
        </w:rPr>
        <w:t>Where A</w:t>
      </w:r>
      <w:r w:rsidRPr="008B75F1">
        <w:rPr>
          <w:rFonts w:ascii="Times New Roman" w:eastAsia="Times New Roman" w:hAnsi="Times New Roman" w:cs="Times New Roman"/>
          <w:vertAlign w:val="subscript"/>
        </w:rPr>
        <w:t>0</w:t>
      </w:r>
      <w:r w:rsidRPr="008B75F1">
        <w:rPr>
          <w:rFonts w:ascii="Times New Roman" w:eastAsia="Times New Roman" w:hAnsi="Times New Roman" w:cs="Times New Roman"/>
        </w:rPr>
        <w:t xml:space="preserve"> is the initial source activity (Becquerels), t</w:t>
      </w:r>
      <w:r w:rsidRPr="008B75F1">
        <w:rPr>
          <w:rFonts w:ascii="Times New Roman" w:eastAsia="Times New Roman" w:hAnsi="Times New Roman" w:cs="Times New Roman"/>
          <w:vertAlign w:val="subscript"/>
        </w:rPr>
        <w:t>d</w:t>
      </w:r>
      <w:r w:rsidRPr="008B75F1">
        <w:rPr>
          <w:rFonts w:ascii="Times New Roman" w:eastAsia="Times New Roman" w:hAnsi="Times New Roman" w:cs="Times New Roman"/>
        </w:rPr>
        <w:t xml:space="preserve"> is the age of the source (days), </w:t>
      </w:r>
      <w:proofErr w:type="gramStart"/>
      <w:r w:rsidRPr="008B75F1">
        <w:rPr>
          <w:rFonts w:ascii="Times New Roman" w:eastAsia="Times New Roman" w:hAnsi="Times New Roman" w:cs="Times New Roman"/>
        </w:rPr>
        <w:t>t</w:t>
      </w:r>
      <w:r w:rsidRPr="008B75F1">
        <w:rPr>
          <w:rFonts w:ascii="Times New Roman" w:eastAsia="Times New Roman" w:hAnsi="Times New Roman" w:cs="Times New Roman"/>
          <w:vertAlign w:val="subscript"/>
        </w:rPr>
        <w:t>L</w:t>
      </w:r>
      <w:proofErr w:type="gramEnd"/>
      <w:r w:rsidRPr="008B75F1">
        <w:rPr>
          <w:rFonts w:ascii="Times New Roman" w:eastAsia="Times New Roman" w:hAnsi="Times New Roman" w:cs="Times New Roman"/>
        </w:rPr>
        <w:t xml:space="preserve"> is the live time (seconds), t</w:t>
      </w:r>
      <w:r w:rsidRPr="008B75F1">
        <w:rPr>
          <w:rFonts w:ascii="Times New Roman" w:eastAsia="Times New Roman" w:hAnsi="Times New Roman" w:cs="Times New Roman"/>
          <w:vertAlign w:val="subscript"/>
        </w:rPr>
        <w:t>1/2</w:t>
      </w:r>
      <w:r w:rsidRPr="008B75F1">
        <w:rPr>
          <w:rFonts w:ascii="Times New Roman" w:eastAsia="Times New Roman" w:hAnsi="Times New Roman" w:cs="Times New Roman"/>
        </w:rPr>
        <w:t xml:space="preserve"> is the half-life (days), and γ is the photon yield (%).</w:t>
      </w:r>
      <w:r>
        <w:rPr>
          <w:rFonts w:ascii="Times New Roman" w:eastAsia="Times New Roman" w:hAnsi="Times New Roman" w:cs="Times New Roman"/>
        </w:rPr>
        <w:t xml:space="preserve"> </w:t>
      </w:r>
      <w:r w:rsidR="00F75C41">
        <w:rPr>
          <w:rFonts w:ascii="Times New Roman" w:eastAsia="Times New Roman" w:hAnsi="Times New Roman" w:cs="Times New Roman"/>
        </w:rPr>
        <w:t>“</w:t>
      </w:r>
      <w:r>
        <w:rPr>
          <w:rFonts w:ascii="Times New Roman" w:eastAsia="Times New Roman" w:hAnsi="Times New Roman" w:cs="Times New Roman"/>
        </w:rPr>
        <w:t>(Egner</w:t>
      </w:r>
      <w:proofErr w:type="gramStart"/>
      <w:r>
        <w:rPr>
          <w:rFonts w:ascii="Times New Roman" w:eastAsia="Times New Roman" w:hAnsi="Times New Roman" w:cs="Times New Roman"/>
        </w:rPr>
        <w:t>,2017</w:t>
      </w:r>
      <w:proofErr w:type="gramEnd"/>
      <w:r>
        <w:rPr>
          <w:rFonts w:ascii="Times New Roman" w:eastAsia="Times New Roman" w:hAnsi="Times New Roman" w:cs="Times New Roman"/>
        </w:rPr>
        <w:t>)</w:t>
      </w:r>
    </w:p>
    <w:p w14:paraId="64D0D180" w14:textId="77777777" w:rsidR="008B75F1" w:rsidRDefault="008B75F1" w:rsidP="008B75F1">
      <w:pPr>
        <w:pStyle w:val="BodyText"/>
        <w:tabs>
          <w:tab w:val="center" w:pos="4685"/>
        </w:tabs>
        <w:ind w:firstLine="0"/>
        <w:contextualSpacing/>
        <w:rPr>
          <w:szCs w:val="22"/>
        </w:rPr>
      </w:pPr>
    </w:p>
    <w:p w14:paraId="3A021542" w14:textId="77777777" w:rsidR="008B75F1" w:rsidRPr="008B75F1" w:rsidRDefault="008B75F1" w:rsidP="008B75F1">
      <w:pPr>
        <w:pStyle w:val="BodyText"/>
        <w:tabs>
          <w:tab w:val="center" w:pos="4685"/>
        </w:tabs>
        <w:ind w:firstLine="0"/>
        <w:contextualSpacing/>
      </w:pPr>
    </w:p>
    <w:p w14:paraId="7CF6652E" w14:textId="77777777" w:rsidR="00E64023" w:rsidRDefault="00E64023" w:rsidP="00E64023">
      <w:pPr>
        <w:pStyle w:val="ListParagraph"/>
        <w:numPr>
          <w:ilvl w:val="0"/>
          <w:numId w:val="2"/>
        </w:numPr>
        <w:rPr>
          <w:rFonts w:ascii="Arial" w:hAnsi="Arial" w:cs="Arial"/>
          <w:sz w:val="24"/>
          <w:szCs w:val="24"/>
        </w:rPr>
      </w:pPr>
      <w:r w:rsidRPr="00E64023">
        <w:rPr>
          <w:rFonts w:ascii="Arial" w:hAnsi="Arial" w:cs="Arial"/>
          <w:b/>
          <w:sz w:val="24"/>
          <w:szCs w:val="24"/>
        </w:rPr>
        <w:t>Absolute full-energy peak efficiency</w:t>
      </w:r>
      <w:r>
        <w:rPr>
          <w:rFonts w:ascii="Arial" w:hAnsi="Arial" w:cs="Arial"/>
          <w:sz w:val="24"/>
          <w:szCs w:val="24"/>
        </w:rPr>
        <w:t>, defined as the ratio of counts in the FEP divided by the number of gamma rays emitted by the source</w:t>
      </w:r>
    </w:p>
    <w:p w14:paraId="13949E9C" w14:textId="77777777" w:rsidR="00E64023" w:rsidRDefault="00E64023" w:rsidP="00E64023">
      <w:pPr>
        <w:pStyle w:val="ListParagraph"/>
        <w:numPr>
          <w:ilvl w:val="0"/>
          <w:numId w:val="2"/>
        </w:numPr>
        <w:rPr>
          <w:rFonts w:ascii="Arial" w:hAnsi="Arial" w:cs="Arial"/>
          <w:sz w:val="24"/>
          <w:szCs w:val="24"/>
        </w:rPr>
      </w:pPr>
      <w:r w:rsidRPr="00E64023">
        <w:rPr>
          <w:rFonts w:ascii="Arial" w:hAnsi="Arial" w:cs="Arial"/>
          <w:b/>
          <w:sz w:val="24"/>
          <w:szCs w:val="24"/>
        </w:rPr>
        <w:t>Intrinsic efficiency</w:t>
      </w:r>
      <w:r>
        <w:rPr>
          <w:rFonts w:ascii="Arial" w:hAnsi="Arial" w:cs="Arial"/>
          <w:sz w:val="24"/>
          <w:szCs w:val="24"/>
        </w:rPr>
        <w:t xml:space="preserve"> is defined as the number of full energy peak counts divided by the number of gamma rays incident on the detector (accounts for efficiency positional dependence (distance/angle from the source)</w:t>
      </w:r>
    </w:p>
    <w:p w14:paraId="479574C1" w14:textId="77777777" w:rsidR="00E64023" w:rsidRDefault="00E64023" w:rsidP="00E64023">
      <w:pPr>
        <w:pStyle w:val="ListParagraph"/>
        <w:numPr>
          <w:ilvl w:val="0"/>
          <w:numId w:val="2"/>
        </w:numPr>
        <w:rPr>
          <w:rFonts w:ascii="Arial" w:hAnsi="Arial" w:cs="Arial"/>
          <w:sz w:val="24"/>
          <w:szCs w:val="24"/>
        </w:rPr>
      </w:pPr>
      <w:r>
        <w:rPr>
          <w:rFonts w:ascii="Arial" w:hAnsi="Arial" w:cs="Arial"/>
          <w:b/>
          <w:sz w:val="24"/>
          <w:szCs w:val="24"/>
        </w:rPr>
        <w:t>Relative Efficiency:</w:t>
      </w:r>
      <w:r>
        <w:rPr>
          <w:rFonts w:ascii="Arial" w:hAnsi="Arial" w:cs="Arial"/>
          <w:sz w:val="24"/>
          <w:szCs w:val="24"/>
        </w:rPr>
        <w:t xml:space="preserve"> </w:t>
      </w:r>
      <w:r w:rsidR="00B2408B">
        <w:rPr>
          <w:rFonts w:ascii="Arial" w:hAnsi="Arial" w:cs="Arial"/>
          <w:sz w:val="24"/>
          <w:szCs w:val="24"/>
        </w:rPr>
        <w:t>photo peak</w:t>
      </w:r>
      <w:r>
        <w:rPr>
          <w:rFonts w:ascii="Arial" w:hAnsi="Arial" w:cs="Arial"/>
          <w:sz w:val="24"/>
          <w:szCs w:val="24"/>
        </w:rPr>
        <w:t xml:space="preserve"> efficiency relative to a standard 3by3in </w:t>
      </w:r>
      <w:proofErr w:type="gramStart"/>
      <w:r>
        <w:rPr>
          <w:rFonts w:ascii="Arial" w:hAnsi="Arial" w:cs="Arial"/>
          <w:sz w:val="24"/>
          <w:szCs w:val="24"/>
        </w:rPr>
        <w:t>NaI(</w:t>
      </w:r>
      <w:proofErr w:type="gramEnd"/>
      <w:r>
        <w:rPr>
          <w:rFonts w:ascii="Arial" w:hAnsi="Arial" w:cs="Arial"/>
          <w:sz w:val="24"/>
          <w:szCs w:val="24"/>
        </w:rPr>
        <w:t>Tl) scintillator, with a source-to-detector spac</w:t>
      </w:r>
      <w:r w:rsidR="00B2408B">
        <w:rPr>
          <w:rFonts w:ascii="Arial" w:hAnsi="Arial" w:cs="Arial"/>
          <w:sz w:val="24"/>
          <w:szCs w:val="24"/>
        </w:rPr>
        <w:t xml:space="preserve">ing of 25 cm for the 1.333 MeV </w:t>
      </w:r>
      <w:r>
        <w:rPr>
          <w:rFonts w:ascii="Arial" w:hAnsi="Arial" w:cs="Arial"/>
          <w:sz w:val="24"/>
          <w:szCs w:val="24"/>
        </w:rPr>
        <w:t xml:space="preserve">gamma-ray </w:t>
      </w:r>
      <w:r w:rsidR="00B2408B">
        <w:rPr>
          <w:rFonts w:ascii="Arial" w:hAnsi="Arial" w:cs="Arial"/>
          <w:sz w:val="24"/>
          <w:szCs w:val="24"/>
        </w:rPr>
        <w:t>photo peak</w:t>
      </w:r>
      <w:r>
        <w:rPr>
          <w:rFonts w:ascii="Arial" w:hAnsi="Arial" w:cs="Arial"/>
          <w:sz w:val="24"/>
          <w:szCs w:val="24"/>
        </w:rPr>
        <w:t xml:space="preserve"> from cobalt-60.</w:t>
      </w:r>
      <w:r w:rsidR="00B2408B">
        <w:rPr>
          <w:rFonts w:ascii="Arial" w:hAnsi="Arial" w:cs="Arial"/>
          <w:sz w:val="24"/>
          <w:szCs w:val="24"/>
        </w:rPr>
        <w:t xml:space="preserve"> (ANSI/IEEE Standard #325)</w:t>
      </w:r>
    </w:p>
    <w:p w14:paraId="4BACDECA" w14:textId="77777777" w:rsidR="00B2408B" w:rsidRDefault="00B2408B" w:rsidP="00E64023">
      <w:pPr>
        <w:pStyle w:val="ListParagraph"/>
        <w:numPr>
          <w:ilvl w:val="0"/>
          <w:numId w:val="2"/>
        </w:numPr>
        <w:rPr>
          <w:rFonts w:ascii="Arial" w:hAnsi="Arial" w:cs="Arial"/>
          <w:sz w:val="24"/>
          <w:szCs w:val="24"/>
        </w:rPr>
      </w:pPr>
      <w:r>
        <w:rPr>
          <w:rFonts w:ascii="Arial" w:hAnsi="Arial" w:cs="Arial"/>
          <w:sz w:val="24"/>
          <w:szCs w:val="24"/>
        </w:rPr>
        <w:t>Rule of Thumb/Estimate: The efficiency ration in percent is given by the detector volume in cm cubed, divided by a factor of 5.</w:t>
      </w:r>
    </w:p>
    <w:p w14:paraId="41EBBA95" w14:textId="77777777" w:rsidR="0016516C" w:rsidRPr="0016516C" w:rsidRDefault="0016516C" w:rsidP="0016516C">
      <w:pPr>
        <w:rPr>
          <w:rFonts w:ascii="Arial" w:hAnsi="Arial" w:cs="Arial"/>
          <w:sz w:val="24"/>
          <w:szCs w:val="24"/>
        </w:rPr>
      </w:pPr>
    </w:p>
    <w:p w14:paraId="0B61BFBF" w14:textId="77777777" w:rsidR="00EC6A9D" w:rsidRDefault="00030843" w:rsidP="0016516C">
      <w:pPr>
        <w:rPr>
          <w:rFonts w:ascii="Arial" w:hAnsi="Arial" w:cs="Arial"/>
          <w:sz w:val="24"/>
          <w:szCs w:val="24"/>
        </w:rPr>
      </w:pPr>
      <w:hyperlink r:id="rId8" w:history="1">
        <w:r w:rsidR="0016516C" w:rsidRPr="0016516C">
          <w:rPr>
            <w:rStyle w:val="Hyperlink"/>
            <w:rFonts w:ascii="Arial" w:hAnsi="Arial" w:cs="Arial"/>
            <w:sz w:val="24"/>
            <w:szCs w:val="24"/>
          </w:rPr>
          <w:t>Experimental and Monte Carlo determination of Gamma Spectrometry Efficiency (Pavel Dryak</w:t>
        </w:r>
        <w:proofErr w:type="gramStart"/>
        <w:r w:rsidR="0016516C" w:rsidRPr="0016516C">
          <w:rPr>
            <w:rStyle w:val="Hyperlink"/>
            <w:rFonts w:ascii="Arial" w:hAnsi="Arial" w:cs="Arial"/>
            <w:sz w:val="24"/>
            <w:szCs w:val="24"/>
          </w:rPr>
          <w:t>,Petr</w:t>
        </w:r>
        <w:proofErr w:type="gramEnd"/>
        <w:r w:rsidR="0016516C" w:rsidRPr="0016516C">
          <w:rPr>
            <w:rStyle w:val="Hyperlink"/>
            <w:rFonts w:ascii="Arial" w:hAnsi="Arial" w:cs="Arial"/>
            <w:sz w:val="24"/>
            <w:szCs w:val="24"/>
          </w:rPr>
          <w:t xml:space="preserve"> Kovar):</w:t>
        </w:r>
      </w:hyperlink>
    </w:p>
    <w:p w14:paraId="4005BF27" w14:textId="77777777" w:rsidR="0016516C" w:rsidRDefault="0016516C" w:rsidP="0016516C">
      <w:pPr>
        <w:pStyle w:val="ListParagraph"/>
        <w:numPr>
          <w:ilvl w:val="0"/>
          <w:numId w:val="3"/>
        </w:numPr>
        <w:rPr>
          <w:rFonts w:ascii="Arial" w:hAnsi="Arial" w:cs="Arial"/>
          <w:sz w:val="24"/>
          <w:szCs w:val="24"/>
        </w:rPr>
      </w:pPr>
      <w:r>
        <w:rPr>
          <w:rFonts w:ascii="Arial" w:hAnsi="Arial" w:cs="Arial"/>
          <w:sz w:val="24"/>
          <w:szCs w:val="24"/>
        </w:rPr>
        <w:t>Created a model and performed X-rays, to verify manufacturers specifications, Canberra Detector</w:t>
      </w:r>
    </w:p>
    <w:p w14:paraId="378320EC" w14:textId="77777777" w:rsidR="0016516C" w:rsidRDefault="0016516C" w:rsidP="0016516C">
      <w:pPr>
        <w:pStyle w:val="ListParagraph"/>
        <w:numPr>
          <w:ilvl w:val="0"/>
          <w:numId w:val="3"/>
        </w:numPr>
        <w:rPr>
          <w:rFonts w:ascii="Arial" w:hAnsi="Arial" w:cs="Arial"/>
          <w:sz w:val="24"/>
          <w:szCs w:val="24"/>
        </w:rPr>
      </w:pPr>
      <w:r>
        <w:rPr>
          <w:rFonts w:ascii="Arial" w:hAnsi="Arial" w:cs="Arial"/>
          <w:sz w:val="24"/>
          <w:szCs w:val="24"/>
        </w:rPr>
        <w:t xml:space="preserve">Parameters checked experimentally: </w:t>
      </w:r>
    </w:p>
    <w:p w14:paraId="3C92CAD6" w14:textId="77777777" w:rsidR="0016516C" w:rsidRDefault="0016516C" w:rsidP="0016516C">
      <w:pPr>
        <w:pStyle w:val="ListParagraph"/>
        <w:numPr>
          <w:ilvl w:val="1"/>
          <w:numId w:val="3"/>
        </w:numPr>
        <w:rPr>
          <w:rFonts w:ascii="Arial" w:hAnsi="Arial" w:cs="Arial"/>
          <w:sz w:val="24"/>
          <w:szCs w:val="24"/>
        </w:rPr>
      </w:pPr>
      <w:r w:rsidRPr="00A029E4">
        <w:rPr>
          <w:rFonts w:ascii="Arial" w:hAnsi="Arial" w:cs="Arial"/>
          <w:sz w:val="24"/>
          <w:szCs w:val="24"/>
          <w:highlight w:val="yellow"/>
        </w:rPr>
        <w:t>Crystal Diameter and Height</w:t>
      </w:r>
      <w:r>
        <w:rPr>
          <w:rFonts w:ascii="Arial" w:hAnsi="Arial" w:cs="Arial"/>
          <w:sz w:val="24"/>
          <w:szCs w:val="24"/>
        </w:rPr>
        <w:t>,</w:t>
      </w:r>
    </w:p>
    <w:p w14:paraId="667C4A0F" w14:textId="77777777" w:rsidR="0016516C" w:rsidRDefault="0016516C" w:rsidP="0016516C">
      <w:pPr>
        <w:pStyle w:val="ListParagraph"/>
        <w:numPr>
          <w:ilvl w:val="1"/>
          <w:numId w:val="3"/>
        </w:numPr>
        <w:rPr>
          <w:rFonts w:ascii="Arial" w:hAnsi="Arial" w:cs="Arial"/>
          <w:sz w:val="24"/>
          <w:szCs w:val="24"/>
        </w:rPr>
      </w:pPr>
      <w:r w:rsidRPr="00A029E4">
        <w:rPr>
          <w:rFonts w:ascii="Arial" w:hAnsi="Arial" w:cs="Arial"/>
          <w:sz w:val="24"/>
          <w:szCs w:val="24"/>
          <w:highlight w:val="yellow"/>
        </w:rPr>
        <w:t>Inner hole diameter and height</w:t>
      </w:r>
      <w:r>
        <w:rPr>
          <w:rFonts w:ascii="Arial" w:hAnsi="Arial" w:cs="Arial"/>
          <w:sz w:val="24"/>
          <w:szCs w:val="24"/>
        </w:rPr>
        <w:t xml:space="preserve">, </w:t>
      </w:r>
    </w:p>
    <w:p w14:paraId="493204E1"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Distance between the detector cap and crystal</w:t>
      </w:r>
    </w:p>
    <w:p w14:paraId="1EF20701"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Cap material composition</w:t>
      </w:r>
    </w:p>
    <w:p w14:paraId="46036DFB" w14:textId="77777777" w:rsidR="0016516C" w:rsidRDefault="0016516C" w:rsidP="0016516C">
      <w:pPr>
        <w:pStyle w:val="ListParagraph"/>
        <w:numPr>
          <w:ilvl w:val="1"/>
          <w:numId w:val="3"/>
        </w:numPr>
        <w:rPr>
          <w:rFonts w:ascii="Arial" w:hAnsi="Arial" w:cs="Arial"/>
          <w:sz w:val="24"/>
          <w:szCs w:val="24"/>
        </w:rPr>
      </w:pPr>
      <w:r w:rsidRPr="00A029E4">
        <w:rPr>
          <w:rFonts w:ascii="Arial" w:hAnsi="Arial" w:cs="Arial"/>
          <w:sz w:val="24"/>
          <w:szCs w:val="24"/>
          <w:highlight w:val="yellow"/>
        </w:rPr>
        <w:t>Germanium crystal density</w:t>
      </w:r>
    </w:p>
    <w:p w14:paraId="0C9F0E01"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Aluminum density</w:t>
      </w:r>
    </w:p>
    <w:p w14:paraId="4CE8EB58"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Position of the crystal</w:t>
      </w:r>
    </w:p>
    <w:p w14:paraId="1E99648A" w14:textId="77777777" w:rsidR="0016516C" w:rsidRDefault="0016516C" w:rsidP="0016516C">
      <w:pPr>
        <w:pStyle w:val="ListParagraph"/>
        <w:numPr>
          <w:ilvl w:val="1"/>
          <w:numId w:val="3"/>
        </w:numPr>
        <w:rPr>
          <w:rFonts w:ascii="Arial" w:hAnsi="Arial" w:cs="Arial"/>
          <w:sz w:val="24"/>
          <w:szCs w:val="24"/>
        </w:rPr>
      </w:pPr>
      <w:r w:rsidRPr="00A029E4">
        <w:rPr>
          <w:rFonts w:ascii="Arial" w:hAnsi="Arial" w:cs="Arial"/>
          <w:sz w:val="24"/>
          <w:szCs w:val="24"/>
          <w:highlight w:val="yellow"/>
        </w:rPr>
        <w:t>Dead layer thicknesses</w:t>
      </w:r>
      <w:r>
        <w:rPr>
          <w:rFonts w:ascii="Arial" w:hAnsi="Arial" w:cs="Arial"/>
          <w:sz w:val="24"/>
          <w:szCs w:val="24"/>
        </w:rPr>
        <w:t xml:space="preserve"> (outer)</w:t>
      </w:r>
    </w:p>
    <w:p w14:paraId="7DB2C63D" w14:textId="77777777" w:rsidR="0016516C" w:rsidRDefault="0016516C" w:rsidP="0016516C">
      <w:pPr>
        <w:pStyle w:val="ListParagraph"/>
        <w:numPr>
          <w:ilvl w:val="0"/>
          <w:numId w:val="3"/>
        </w:numPr>
        <w:rPr>
          <w:rFonts w:ascii="Arial" w:hAnsi="Arial" w:cs="Arial"/>
          <w:sz w:val="24"/>
          <w:szCs w:val="24"/>
        </w:rPr>
      </w:pPr>
      <w:r>
        <w:rPr>
          <w:rFonts w:ascii="Arial" w:hAnsi="Arial" w:cs="Arial"/>
          <w:sz w:val="24"/>
          <w:szCs w:val="24"/>
        </w:rPr>
        <w:t>Modeling Parameters adjusted:</w:t>
      </w:r>
    </w:p>
    <w:p w14:paraId="4E6C16A2" w14:textId="77777777" w:rsidR="0016516C" w:rsidRDefault="0016516C" w:rsidP="0016516C">
      <w:pPr>
        <w:pStyle w:val="ListParagraph"/>
        <w:numPr>
          <w:ilvl w:val="1"/>
          <w:numId w:val="3"/>
        </w:numPr>
        <w:rPr>
          <w:rFonts w:ascii="Arial" w:hAnsi="Arial" w:cs="Arial"/>
          <w:sz w:val="24"/>
          <w:szCs w:val="24"/>
        </w:rPr>
      </w:pPr>
      <w:r w:rsidRPr="00A029E4">
        <w:rPr>
          <w:rFonts w:ascii="Arial" w:hAnsi="Arial" w:cs="Arial"/>
          <w:sz w:val="24"/>
          <w:szCs w:val="24"/>
          <w:highlight w:val="yellow"/>
        </w:rPr>
        <w:t xml:space="preserve">Size of the contact </w:t>
      </w:r>
      <w:commentRangeStart w:id="1"/>
      <w:r w:rsidRPr="00A029E4">
        <w:rPr>
          <w:rFonts w:ascii="Arial" w:hAnsi="Arial" w:cs="Arial"/>
          <w:sz w:val="24"/>
          <w:szCs w:val="24"/>
          <w:highlight w:val="yellow"/>
        </w:rPr>
        <w:t>pin</w:t>
      </w:r>
      <w:commentRangeEnd w:id="1"/>
      <w:r w:rsidR="00A029E4">
        <w:rPr>
          <w:rStyle w:val="CommentReference"/>
        </w:rPr>
        <w:commentReference w:id="1"/>
      </w:r>
      <w:r>
        <w:rPr>
          <w:rFonts w:ascii="Arial" w:hAnsi="Arial" w:cs="Arial"/>
          <w:sz w:val="24"/>
          <w:szCs w:val="24"/>
        </w:rPr>
        <w:t xml:space="preserve"> – estimated/assumed contact pin material was brass</w:t>
      </w:r>
    </w:p>
    <w:p w14:paraId="23AD2416"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Densities of Ge and Al</w:t>
      </w:r>
    </w:p>
    <w:p w14:paraId="444E34A9" w14:textId="77777777" w:rsidR="0016516C" w:rsidRDefault="0016516C" w:rsidP="0016516C">
      <w:pPr>
        <w:pStyle w:val="ListParagraph"/>
        <w:numPr>
          <w:ilvl w:val="2"/>
          <w:numId w:val="3"/>
        </w:numPr>
        <w:rPr>
          <w:rFonts w:ascii="Arial" w:hAnsi="Arial" w:cs="Arial"/>
          <w:sz w:val="24"/>
          <w:szCs w:val="24"/>
        </w:rPr>
      </w:pPr>
      <w:r>
        <w:rPr>
          <w:rFonts w:ascii="Arial" w:hAnsi="Arial" w:cs="Arial"/>
          <w:sz w:val="24"/>
          <w:szCs w:val="24"/>
        </w:rPr>
        <w:t>Ge –p = 5.3233(5</w:t>
      </w:r>
      <w:proofErr w:type="gramStart"/>
      <w:r>
        <w:rPr>
          <w:rFonts w:ascii="Arial" w:hAnsi="Arial" w:cs="Arial"/>
          <w:sz w:val="24"/>
          <w:szCs w:val="24"/>
        </w:rPr>
        <w:t>)g</w:t>
      </w:r>
      <w:proofErr w:type="gramEnd"/>
      <w:r>
        <w:rPr>
          <w:rFonts w:ascii="Arial" w:hAnsi="Arial" w:cs="Arial"/>
          <w:sz w:val="24"/>
          <w:szCs w:val="24"/>
        </w:rPr>
        <w:t>/cm</w:t>
      </w:r>
      <w:r>
        <w:rPr>
          <w:rFonts w:ascii="Arial" w:hAnsi="Arial" w:cs="Arial"/>
          <w:sz w:val="24"/>
          <w:szCs w:val="24"/>
          <w:vertAlign w:val="superscript"/>
        </w:rPr>
        <w:t>3</w:t>
      </w:r>
      <w:r>
        <w:rPr>
          <w:rFonts w:ascii="Arial" w:hAnsi="Arial" w:cs="Arial"/>
          <w:sz w:val="24"/>
          <w:szCs w:val="24"/>
        </w:rPr>
        <w:t>, published values of 5.323 and 5.35.</w:t>
      </w:r>
    </w:p>
    <w:p w14:paraId="07471AFA" w14:textId="77777777" w:rsidR="0016516C" w:rsidRPr="0016516C" w:rsidRDefault="0016516C" w:rsidP="0016516C">
      <w:pPr>
        <w:pStyle w:val="ListParagraph"/>
        <w:numPr>
          <w:ilvl w:val="2"/>
          <w:numId w:val="3"/>
        </w:numPr>
        <w:rPr>
          <w:rFonts w:ascii="Arial" w:hAnsi="Arial" w:cs="Arial"/>
          <w:sz w:val="24"/>
          <w:szCs w:val="24"/>
        </w:rPr>
      </w:pPr>
      <w:r>
        <w:rPr>
          <w:rFonts w:ascii="Arial" w:hAnsi="Arial" w:cs="Arial"/>
          <w:sz w:val="24"/>
          <w:szCs w:val="24"/>
        </w:rPr>
        <w:t>Al – p = 2.717(2) g/cm</w:t>
      </w:r>
      <w:r>
        <w:rPr>
          <w:rFonts w:ascii="Arial" w:hAnsi="Arial" w:cs="Arial"/>
          <w:sz w:val="24"/>
          <w:szCs w:val="24"/>
          <w:vertAlign w:val="superscript"/>
        </w:rPr>
        <w:t>3</w:t>
      </w:r>
    </w:p>
    <w:p w14:paraId="4DE2ABA8"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Radius of crystal</w:t>
      </w:r>
    </w:p>
    <w:p w14:paraId="0BE026C6"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Dead Layer</w:t>
      </w:r>
    </w:p>
    <w:p w14:paraId="313C2C22" w14:textId="77777777" w:rsidR="0016516C" w:rsidRDefault="0016516C" w:rsidP="0016516C">
      <w:pPr>
        <w:pStyle w:val="ListParagraph"/>
        <w:numPr>
          <w:ilvl w:val="0"/>
          <w:numId w:val="3"/>
        </w:numPr>
        <w:rPr>
          <w:rFonts w:ascii="Arial" w:hAnsi="Arial" w:cs="Arial"/>
          <w:sz w:val="24"/>
          <w:szCs w:val="24"/>
        </w:rPr>
      </w:pPr>
      <w:r>
        <w:rPr>
          <w:rFonts w:ascii="Arial" w:hAnsi="Arial" w:cs="Arial"/>
          <w:sz w:val="24"/>
          <w:szCs w:val="24"/>
        </w:rPr>
        <w:t>Electron motion adjustment (if we wanted to account for electrons)</w:t>
      </w:r>
    </w:p>
    <w:p w14:paraId="6C75E2A6" w14:textId="77777777" w:rsidR="0016516C" w:rsidRDefault="0016516C" w:rsidP="0016516C">
      <w:pPr>
        <w:pStyle w:val="ListParagraph"/>
        <w:numPr>
          <w:ilvl w:val="1"/>
          <w:numId w:val="3"/>
        </w:numPr>
        <w:rPr>
          <w:rFonts w:ascii="Arial" w:hAnsi="Arial" w:cs="Arial"/>
          <w:sz w:val="24"/>
          <w:szCs w:val="24"/>
        </w:rPr>
      </w:pPr>
      <w:r w:rsidRPr="0016516C">
        <w:rPr>
          <w:rFonts w:ascii="Arial" w:hAnsi="Arial" w:cs="Arial"/>
          <w:sz w:val="24"/>
          <w:szCs w:val="24"/>
        </w:rPr>
        <w:t>Estep in material cards was increased from default(7) to 20, to improve more realistic electron motion</w:t>
      </w:r>
      <w:r>
        <w:rPr>
          <w:rFonts w:ascii="Arial" w:hAnsi="Arial" w:cs="Arial"/>
          <w:sz w:val="24"/>
          <w:szCs w:val="24"/>
        </w:rPr>
        <w:t>:</w:t>
      </w:r>
    </w:p>
    <w:p w14:paraId="0184F365" w14:textId="77777777" w:rsidR="0016516C" w:rsidRPr="0016516C" w:rsidRDefault="0016516C" w:rsidP="0016516C">
      <w:pPr>
        <w:pStyle w:val="ListParagraph"/>
        <w:ind w:left="1440"/>
        <w:rPr>
          <w:rFonts w:ascii="Arial" w:hAnsi="Arial" w:cs="Arial"/>
          <w:sz w:val="24"/>
          <w:szCs w:val="24"/>
        </w:rPr>
      </w:pPr>
      <w:r w:rsidRPr="0016516C">
        <w:rPr>
          <w:rFonts w:ascii="Arial" w:hAnsi="Arial" w:cs="Arial"/>
          <w:sz w:val="24"/>
          <w:szCs w:val="24"/>
        </w:rPr>
        <w:t>c x--- Material Cards --------------------------------------x</w:t>
      </w:r>
    </w:p>
    <w:p w14:paraId="647A0B2F" w14:textId="77777777" w:rsidR="0016516C" w:rsidRPr="0016516C" w:rsidRDefault="0016516C" w:rsidP="0016516C">
      <w:pPr>
        <w:pStyle w:val="ListParagraph"/>
        <w:ind w:left="1440"/>
        <w:rPr>
          <w:rFonts w:ascii="Arial" w:hAnsi="Arial" w:cs="Arial"/>
          <w:sz w:val="24"/>
          <w:szCs w:val="24"/>
        </w:rPr>
      </w:pPr>
      <w:r w:rsidRPr="0016516C">
        <w:rPr>
          <w:rFonts w:ascii="Arial" w:hAnsi="Arial" w:cs="Arial"/>
          <w:sz w:val="24"/>
          <w:szCs w:val="24"/>
        </w:rPr>
        <w:t>m1 32000 -1.0 estep=30 $ Germanium ro=5.3255</w:t>
      </w:r>
    </w:p>
    <w:p w14:paraId="390BEB55" w14:textId="77777777" w:rsidR="0016516C" w:rsidRDefault="0016516C" w:rsidP="0016516C">
      <w:pPr>
        <w:pStyle w:val="ListParagraph"/>
        <w:ind w:left="1440"/>
        <w:rPr>
          <w:rFonts w:ascii="Arial" w:hAnsi="Arial" w:cs="Arial"/>
          <w:sz w:val="24"/>
          <w:szCs w:val="24"/>
        </w:rPr>
      </w:pPr>
      <w:r w:rsidRPr="0016516C">
        <w:rPr>
          <w:rFonts w:ascii="Arial" w:hAnsi="Arial" w:cs="Arial"/>
          <w:sz w:val="24"/>
          <w:szCs w:val="24"/>
        </w:rPr>
        <w:t>m2 13000 -1.0 $ Aluminum ro=2.717</w:t>
      </w:r>
    </w:p>
    <w:p w14:paraId="194FF858"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This lowered the high energy efficiency (in a better fitting manner)</w:t>
      </w:r>
    </w:p>
    <w:p w14:paraId="2BF700FE" w14:textId="77777777" w:rsidR="00D90BED" w:rsidRDefault="00D90BED" w:rsidP="00D90BED">
      <w:pPr>
        <w:pStyle w:val="ListParagraph"/>
        <w:numPr>
          <w:ilvl w:val="1"/>
          <w:numId w:val="3"/>
        </w:numPr>
        <w:rPr>
          <w:rFonts w:ascii="Arial" w:hAnsi="Arial" w:cs="Arial"/>
          <w:sz w:val="24"/>
          <w:szCs w:val="24"/>
        </w:rPr>
      </w:pPr>
      <w:r>
        <w:rPr>
          <w:rFonts w:ascii="Arial" w:hAnsi="Arial" w:cs="Arial"/>
          <w:sz w:val="24"/>
          <w:szCs w:val="24"/>
        </w:rPr>
        <w:t>Homogeneous dead layer assumption (0.5325(100) mm)</w:t>
      </w:r>
    </w:p>
    <w:p w14:paraId="27FF04F1" w14:textId="2E75B5EB" w:rsidR="00286926" w:rsidRPr="00FC6C9E" w:rsidRDefault="007124FC" w:rsidP="00286926">
      <w:pPr>
        <w:pStyle w:val="ListParagraph"/>
        <w:numPr>
          <w:ilvl w:val="1"/>
          <w:numId w:val="3"/>
        </w:numPr>
        <w:rPr>
          <w:rFonts w:ascii="Arial" w:hAnsi="Arial" w:cs="Arial"/>
          <w:sz w:val="24"/>
          <w:szCs w:val="24"/>
        </w:rPr>
      </w:pPr>
      <w:r>
        <w:rPr>
          <w:rFonts w:ascii="Arial" w:hAnsi="Arial" w:cs="Arial"/>
          <w:sz w:val="24"/>
          <w:szCs w:val="24"/>
        </w:rPr>
        <w:t>Their</w:t>
      </w:r>
      <w:r w:rsidR="00D90BED">
        <w:rPr>
          <w:rFonts w:ascii="Arial" w:hAnsi="Arial" w:cs="Arial"/>
          <w:sz w:val="24"/>
          <w:szCs w:val="24"/>
        </w:rPr>
        <w:t xml:space="preserve"> conclusion: “</w:t>
      </w:r>
      <w:r w:rsidR="00D90BED" w:rsidRPr="00D90BED">
        <w:rPr>
          <w:rFonts w:ascii="Arial" w:hAnsi="Arial" w:cs="Arial"/>
          <w:sz w:val="24"/>
          <w:szCs w:val="24"/>
        </w:rPr>
        <w:t>The exact description of the detector gives</w:t>
      </w:r>
      <w:r>
        <w:rPr>
          <w:rFonts w:ascii="Arial" w:hAnsi="Arial" w:cs="Arial"/>
          <w:sz w:val="24"/>
          <w:szCs w:val="24"/>
        </w:rPr>
        <w:t xml:space="preserve"> </w:t>
      </w:r>
      <w:r w:rsidR="00D90BED" w:rsidRPr="007124FC">
        <w:rPr>
          <w:rFonts w:ascii="Arial" w:hAnsi="Arial" w:cs="Arial"/>
          <w:sz w:val="24"/>
          <w:szCs w:val="24"/>
        </w:rPr>
        <w:t>very good results of efficiencies.”  And “MCNP method can be used for the</w:t>
      </w:r>
      <w:r>
        <w:rPr>
          <w:rFonts w:ascii="Arial" w:hAnsi="Arial" w:cs="Arial"/>
          <w:sz w:val="24"/>
          <w:szCs w:val="24"/>
        </w:rPr>
        <w:t xml:space="preserve"> </w:t>
      </w:r>
      <w:r w:rsidR="00531237" w:rsidRPr="007124FC">
        <w:rPr>
          <w:rFonts w:ascii="Arial" w:hAnsi="Arial" w:cs="Arial"/>
          <w:sz w:val="24"/>
          <w:szCs w:val="24"/>
        </w:rPr>
        <w:t>Calibration</w:t>
      </w:r>
      <w:r w:rsidR="00D90BED" w:rsidRPr="007124FC">
        <w:rPr>
          <w:rFonts w:ascii="Arial" w:hAnsi="Arial" w:cs="Arial"/>
          <w:sz w:val="24"/>
          <w:szCs w:val="24"/>
        </w:rPr>
        <w:t xml:space="preserve"> of Ge detectors.”</w:t>
      </w:r>
    </w:p>
    <w:p w14:paraId="25E0B613" w14:textId="77777777" w:rsidR="00D90BED" w:rsidRDefault="00D90BED" w:rsidP="00D90BED">
      <w:pPr>
        <w:jc w:val="center"/>
        <w:rPr>
          <w:rFonts w:ascii="Arial" w:hAnsi="Arial" w:cs="Arial"/>
          <w:sz w:val="24"/>
          <w:szCs w:val="24"/>
        </w:rPr>
      </w:pPr>
      <w:r>
        <w:rPr>
          <w:noProof/>
        </w:rPr>
        <w:lastRenderedPageBreak/>
        <w:drawing>
          <wp:inline distT="0" distB="0" distL="0" distR="0" wp14:anchorId="6DF1E685" wp14:editId="1D99934D">
            <wp:extent cx="4357315" cy="3158122"/>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0443" cy="3160389"/>
                    </a:xfrm>
                    <a:prstGeom prst="rect">
                      <a:avLst/>
                    </a:prstGeom>
                  </pic:spPr>
                </pic:pic>
              </a:graphicData>
            </a:graphic>
          </wp:inline>
        </w:drawing>
      </w:r>
    </w:p>
    <w:p w14:paraId="38B5CC9F" w14:textId="77777777" w:rsidR="00D90BED" w:rsidRDefault="00D90BED" w:rsidP="00D90BED">
      <w:pPr>
        <w:jc w:val="center"/>
        <w:rPr>
          <w:rFonts w:ascii="Arial" w:hAnsi="Arial" w:cs="Arial"/>
          <w:sz w:val="24"/>
          <w:szCs w:val="24"/>
        </w:rPr>
      </w:pPr>
      <w:r>
        <w:rPr>
          <w:noProof/>
        </w:rPr>
        <w:drawing>
          <wp:inline distT="0" distB="0" distL="0" distR="0" wp14:anchorId="586F8261" wp14:editId="272CFB09">
            <wp:extent cx="4245997" cy="306428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2079" cy="3068675"/>
                    </a:xfrm>
                    <a:prstGeom prst="rect">
                      <a:avLst/>
                    </a:prstGeom>
                  </pic:spPr>
                </pic:pic>
              </a:graphicData>
            </a:graphic>
          </wp:inline>
        </w:drawing>
      </w:r>
    </w:p>
    <w:p w14:paraId="3177C1CF" w14:textId="77777777" w:rsidR="00D90BED" w:rsidRDefault="00D90BED" w:rsidP="00D90BED">
      <w:pPr>
        <w:jc w:val="center"/>
        <w:rPr>
          <w:rFonts w:ascii="Arial" w:hAnsi="Arial" w:cs="Arial"/>
          <w:sz w:val="24"/>
          <w:szCs w:val="24"/>
        </w:rPr>
      </w:pPr>
      <w:r>
        <w:rPr>
          <w:noProof/>
        </w:rPr>
        <w:lastRenderedPageBreak/>
        <w:drawing>
          <wp:inline distT="0" distB="0" distL="0" distR="0" wp14:anchorId="46E546CC" wp14:editId="09811CA4">
            <wp:extent cx="4170459" cy="3179529"/>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4637" cy="3182715"/>
                    </a:xfrm>
                    <a:prstGeom prst="rect">
                      <a:avLst/>
                    </a:prstGeom>
                  </pic:spPr>
                </pic:pic>
              </a:graphicData>
            </a:graphic>
          </wp:inline>
        </w:drawing>
      </w:r>
    </w:p>
    <w:p w14:paraId="5A52F811" w14:textId="77777777" w:rsidR="00D90BED" w:rsidRDefault="00D90BED" w:rsidP="00D90BED">
      <w:pPr>
        <w:jc w:val="center"/>
        <w:rPr>
          <w:rFonts w:ascii="Arial" w:hAnsi="Arial" w:cs="Arial"/>
          <w:sz w:val="24"/>
          <w:szCs w:val="24"/>
        </w:rPr>
      </w:pPr>
      <w:r>
        <w:rPr>
          <w:noProof/>
        </w:rPr>
        <w:drawing>
          <wp:inline distT="0" distB="0" distL="0" distR="0" wp14:anchorId="150F4B01" wp14:editId="410B94D5">
            <wp:extent cx="4548146" cy="3351828"/>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1319" cy="3354166"/>
                    </a:xfrm>
                    <a:prstGeom prst="rect">
                      <a:avLst/>
                    </a:prstGeom>
                  </pic:spPr>
                </pic:pic>
              </a:graphicData>
            </a:graphic>
          </wp:inline>
        </w:drawing>
      </w:r>
    </w:p>
    <w:p w14:paraId="745993A1" w14:textId="77777777" w:rsidR="00FC6C9E" w:rsidRDefault="00FC6C9E" w:rsidP="00D90BED">
      <w:pPr>
        <w:jc w:val="center"/>
        <w:rPr>
          <w:rFonts w:ascii="Arial" w:hAnsi="Arial" w:cs="Arial"/>
          <w:sz w:val="24"/>
          <w:szCs w:val="24"/>
        </w:rPr>
      </w:pPr>
    </w:p>
    <w:p w14:paraId="2B81890A" w14:textId="77777777" w:rsidR="00FC6C9E" w:rsidRDefault="00FC6C9E" w:rsidP="00D90BED">
      <w:pPr>
        <w:jc w:val="center"/>
        <w:rPr>
          <w:rFonts w:ascii="Arial" w:hAnsi="Arial" w:cs="Arial"/>
          <w:sz w:val="24"/>
          <w:szCs w:val="24"/>
        </w:rPr>
      </w:pPr>
    </w:p>
    <w:p w14:paraId="237320B9" w14:textId="77777777" w:rsidR="00FC6C9E" w:rsidRDefault="00FC6C9E" w:rsidP="00D90BED">
      <w:pPr>
        <w:jc w:val="center"/>
        <w:rPr>
          <w:rFonts w:ascii="Arial" w:hAnsi="Arial" w:cs="Arial"/>
          <w:sz w:val="24"/>
          <w:szCs w:val="24"/>
        </w:rPr>
      </w:pPr>
    </w:p>
    <w:p w14:paraId="12BB15C1" w14:textId="77777777" w:rsidR="00FC6C9E" w:rsidRDefault="00FC6C9E" w:rsidP="00D90BED">
      <w:pPr>
        <w:jc w:val="center"/>
        <w:rPr>
          <w:rFonts w:ascii="Arial" w:hAnsi="Arial" w:cs="Arial"/>
          <w:sz w:val="24"/>
          <w:szCs w:val="24"/>
        </w:rPr>
      </w:pPr>
    </w:p>
    <w:p w14:paraId="2E3E3799" w14:textId="77777777" w:rsidR="00FC6C9E" w:rsidRDefault="00FC6C9E" w:rsidP="00D90BED">
      <w:pPr>
        <w:jc w:val="center"/>
        <w:rPr>
          <w:rFonts w:ascii="Arial" w:hAnsi="Arial" w:cs="Arial"/>
          <w:sz w:val="24"/>
          <w:szCs w:val="24"/>
        </w:rPr>
      </w:pPr>
    </w:p>
    <w:p w14:paraId="0D0C1B8E" w14:textId="77777777" w:rsidR="00FC6C9E" w:rsidRDefault="00030843" w:rsidP="00FC6C9E">
      <w:pPr>
        <w:rPr>
          <w:rFonts w:ascii="Arial" w:hAnsi="Arial" w:cs="Arial"/>
          <w:sz w:val="24"/>
          <w:szCs w:val="24"/>
        </w:rPr>
      </w:pPr>
      <w:hyperlink r:id="rId15" w:history="1">
        <w:r w:rsidR="00FC6C9E" w:rsidRPr="007124FC">
          <w:rPr>
            <w:rStyle w:val="Hyperlink"/>
            <w:rFonts w:ascii="Arial" w:hAnsi="Arial" w:cs="Arial"/>
            <w:sz w:val="24"/>
            <w:szCs w:val="24"/>
          </w:rPr>
          <w:t>Resolution and Sensitivity as a Function of Energy and Incident Geometry for Germanium Detectors (Keyser):</w:t>
        </w:r>
      </w:hyperlink>
    </w:p>
    <w:p w14:paraId="2489DE38" w14:textId="77777777" w:rsidR="00FC6C9E" w:rsidRDefault="00FC6C9E" w:rsidP="00FC6C9E">
      <w:pPr>
        <w:pStyle w:val="ListParagraph"/>
        <w:numPr>
          <w:ilvl w:val="0"/>
          <w:numId w:val="4"/>
        </w:numPr>
        <w:rPr>
          <w:rFonts w:ascii="Arial" w:hAnsi="Arial" w:cs="Arial"/>
          <w:sz w:val="24"/>
          <w:szCs w:val="24"/>
        </w:rPr>
      </w:pPr>
      <w:r>
        <w:rPr>
          <w:rFonts w:ascii="Arial" w:hAnsi="Arial" w:cs="Arial"/>
          <w:sz w:val="24"/>
          <w:szCs w:val="24"/>
        </w:rPr>
        <w:t>Resolution and sensitivity change with position of incident photon</w:t>
      </w:r>
    </w:p>
    <w:p w14:paraId="581ED6B2" w14:textId="77777777" w:rsidR="00FC6C9E" w:rsidRDefault="00FC6C9E" w:rsidP="00FC6C9E">
      <w:pPr>
        <w:pStyle w:val="ListParagraph"/>
        <w:numPr>
          <w:ilvl w:val="0"/>
          <w:numId w:val="4"/>
        </w:numPr>
        <w:rPr>
          <w:rFonts w:ascii="Arial" w:hAnsi="Arial" w:cs="Arial"/>
          <w:sz w:val="24"/>
          <w:szCs w:val="24"/>
        </w:rPr>
      </w:pPr>
      <w:r>
        <w:rPr>
          <w:rFonts w:ascii="Arial" w:hAnsi="Arial" w:cs="Arial"/>
          <w:sz w:val="24"/>
          <w:szCs w:val="24"/>
        </w:rPr>
        <w:t>Copper ring might have an affect down the side of the detector</w:t>
      </w:r>
    </w:p>
    <w:p w14:paraId="321F4807" w14:textId="77777777" w:rsidR="00FC6C9E" w:rsidRDefault="00FC6C9E" w:rsidP="00FC6C9E">
      <w:pPr>
        <w:pStyle w:val="ListParagraph"/>
        <w:numPr>
          <w:ilvl w:val="0"/>
          <w:numId w:val="4"/>
        </w:numPr>
        <w:rPr>
          <w:rFonts w:ascii="Arial" w:hAnsi="Arial" w:cs="Arial"/>
          <w:sz w:val="24"/>
          <w:szCs w:val="24"/>
        </w:rPr>
      </w:pPr>
      <w:r>
        <w:rPr>
          <w:rFonts w:ascii="Arial" w:hAnsi="Arial" w:cs="Arial"/>
          <w:sz w:val="24"/>
          <w:szCs w:val="24"/>
        </w:rPr>
        <w:t>Conclusions: cannot always assume the detector to be of uniform thickness (found experimentally).  And it has been found, that some detectors do have a uniform dead layer.</w:t>
      </w:r>
    </w:p>
    <w:p w14:paraId="23E7C20C" w14:textId="52060BBB" w:rsidR="00FC6C9E" w:rsidRDefault="00030843" w:rsidP="00FC6C9E">
      <w:pPr>
        <w:rPr>
          <w:rFonts w:ascii="Arial" w:hAnsi="Arial" w:cs="Arial"/>
          <w:sz w:val="24"/>
          <w:szCs w:val="24"/>
        </w:rPr>
      </w:pPr>
      <w:hyperlink r:id="rId16" w:history="1">
        <w:r w:rsidR="006C611A" w:rsidRPr="006C611A">
          <w:rPr>
            <w:rStyle w:val="Hyperlink"/>
            <w:rFonts w:ascii="Arial" w:hAnsi="Arial" w:cs="Arial"/>
            <w:sz w:val="24"/>
            <w:szCs w:val="24"/>
          </w:rPr>
          <w:t xml:space="preserve">Chapter 5: Full Energy Peak Efficiency Calibration </w:t>
        </w:r>
        <w:proofErr w:type="gramStart"/>
        <w:r w:rsidR="006C611A" w:rsidRPr="006C611A">
          <w:rPr>
            <w:rStyle w:val="Hyperlink"/>
            <w:rFonts w:ascii="Arial" w:hAnsi="Arial" w:cs="Arial"/>
            <w:sz w:val="24"/>
            <w:szCs w:val="24"/>
          </w:rPr>
          <w:t>fo</w:t>
        </w:r>
        <w:proofErr w:type="gramEnd"/>
        <w:r w:rsidR="006C611A" w:rsidRPr="006C611A">
          <w:rPr>
            <w:rStyle w:val="Hyperlink"/>
            <w:rFonts w:ascii="Arial" w:hAnsi="Arial" w:cs="Arial"/>
            <w:sz w:val="24"/>
            <w:szCs w:val="24"/>
          </w:rPr>
          <w:t xml:space="preserve"> HPGe Detector by MCNP:</w:t>
        </w:r>
      </w:hyperlink>
    </w:p>
    <w:p w14:paraId="76F65C29" w14:textId="1DEF4D1A" w:rsidR="006C611A" w:rsidRDefault="006C611A" w:rsidP="006C611A">
      <w:pPr>
        <w:pStyle w:val="ListParagraph"/>
        <w:numPr>
          <w:ilvl w:val="0"/>
          <w:numId w:val="5"/>
        </w:numPr>
        <w:rPr>
          <w:rFonts w:ascii="Arial" w:hAnsi="Arial" w:cs="Arial"/>
          <w:sz w:val="24"/>
          <w:szCs w:val="24"/>
        </w:rPr>
      </w:pPr>
      <w:r>
        <w:rPr>
          <w:rFonts w:ascii="Arial" w:hAnsi="Arial" w:cs="Arial"/>
          <w:sz w:val="24"/>
          <w:szCs w:val="24"/>
        </w:rPr>
        <w:t>Monte Carlo methods are free from coincidence summing</w:t>
      </w:r>
    </w:p>
    <w:p w14:paraId="6B47A6D4" w14:textId="6B3013D4" w:rsidR="006C611A" w:rsidRDefault="006C611A" w:rsidP="006C611A">
      <w:pPr>
        <w:pStyle w:val="ListParagraph"/>
        <w:numPr>
          <w:ilvl w:val="0"/>
          <w:numId w:val="5"/>
        </w:numPr>
        <w:rPr>
          <w:rFonts w:ascii="Arial" w:hAnsi="Arial" w:cs="Arial"/>
          <w:sz w:val="24"/>
          <w:szCs w:val="24"/>
        </w:rPr>
      </w:pPr>
      <w:r>
        <w:rPr>
          <w:rFonts w:ascii="Arial" w:hAnsi="Arial" w:cs="Arial"/>
          <w:sz w:val="24"/>
          <w:szCs w:val="24"/>
        </w:rPr>
        <w:t>These models, can be used to get the total efficiency required for coincidence summing corrections.</w:t>
      </w:r>
    </w:p>
    <w:p w14:paraId="006D9D50" w14:textId="422A7DD8" w:rsidR="006C611A" w:rsidRDefault="006C611A" w:rsidP="006C611A">
      <w:pPr>
        <w:pStyle w:val="ListParagraph"/>
        <w:numPr>
          <w:ilvl w:val="0"/>
          <w:numId w:val="5"/>
        </w:numPr>
        <w:rPr>
          <w:rFonts w:ascii="Arial" w:hAnsi="Arial" w:cs="Arial"/>
          <w:sz w:val="24"/>
          <w:szCs w:val="24"/>
        </w:rPr>
      </w:pPr>
      <w:r>
        <w:rPr>
          <w:rFonts w:ascii="Arial" w:hAnsi="Arial" w:cs="Arial"/>
          <w:sz w:val="24"/>
          <w:szCs w:val="24"/>
        </w:rPr>
        <w:t>Differences in manufacturer specifications and reality can occur due to temperature changes, uncertainty parameters (dead layer thickness and detector to endcap length differences).</w:t>
      </w:r>
    </w:p>
    <w:p w14:paraId="4362EB2E" w14:textId="77777777" w:rsidR="006C611A" w:rsidRDefault="006C611A" w:rsidP="006C611A">
      <w:pPr>
        <w:pStyle w:val="ListParagraph"/>
        <w:numPr>
          <w:ilvl w:val="0"/>
          <w:numId w:val="5"/>
        </w:numPr>
        <w:rPr>
          <w:rFonts w:ascii="Arial" w:hAnsi="Arial" w:cs="Arial"/>
          <w:sz w:val="24"/>
          <w:szCs w:val="24"/>
        </w:rPr>
      </w:pPr>
      <w:r>
        <w:rPr>
          <w:rFonts w:ascii="Arial" w:hAnsi="Arial" w:cs="Arial"/>
          <w:sz w:val="24"/>
          <w:szCs w:val="24"/>
        </w:rPr>
        <w:t>This issue can be resolved by: physically measuring the detector parameters, or by trying to match the experimental results by adjusting the paremeters.</w:t>
      </w:r>
    </w:p>
    <w:p w14:paraId="4142FE81" w14:textId="312BD3DF" w:rsidR="006C611A" w:rsidRDefault="00E215FD" w:rsidP="006C611A">
      <w:pPr>
        <w:pStyle w:val="ListParagraph"/>
        <w:numPr>
          <w:ilvl w:val="0"/>
          <w:numId w:val="5"/>
        </w:numPr>
        <w:rPr>
          <w:rFonts w:ascii="Arial" w:hAnsi="Arial" w:cs="Arial"/>
          <w:sz w:val="24"/>
          <w:szCs w:val="24"/>
        </w:rPr>
      </w:pPr>
      <w:r>
        <w:rPr>
          <w:rFonts w:ascii="Arial" w:hAnsi="Arial" w:cs="Arial"/>
          <w:sz w:val="24"/>
          <w:szCs w:val="24"/>
        </w:rPr>
        <w:t>It has been observed, that there can be a dead layer thickness increase between 0.35 mm to 1.16 mm after 9 years of operation.</w:t>
      </w:r>
    </w:p>
    <w:p w14:paraId="796BD991" w14:textId="7739BFDD" w:rsidR="00E215FD" w:rsidRDefault="00E215FD" w:rsidP="006C611A">
      <w:pPr>
        <w:pStyle w:val="ListParagraph"/>
        <w:numPr>
          <w:ilvl w:val="0"/>
          <w:numId w:val="5"/>
        </w:numPr>
        <w:rPr>
          <w:rFonts w:ascii="Arial" w:hAnsi="Arial" w:cs="Arial"/>
          <w:sz w:val="24"/>
          <w:szCs w:val="24"/>
        </w:rPr>
      </w:pPr>
      <w:r>
        <w:rPr>
          <w:rFonts w:ascii="Arial" w:hAnsi="Arial" w:cs="Arial"/>
          <w:sz w:val="24"/>
          <w:szCs w:val="24"/>
        </w:rPr>
        <w:t>Effect of Detector Parameters on the FEP Efficiency:</w:t>
      </w:r>
    </w:p>
    <w:p w14:paraId="078FFAA1" w14:textId="31876623" w:rsidR="001A2BB6" w:rsidRDefault="001A2BB6" w:rsidP="001A2BB6">
      <w:pPr>
        <w:pStyle w:val="ListParagraph"/>
        <w:numPr>
          <w:ilvl w:val="1"/>
          <w:numId w:val="5"/>
        </w:numPr>
        <w:rPr>
          <w:rFonts w:ascii="Arial" w:hAnsi="Arial" w:cs="Arial"/>
          <w:sz w:val="24"/>
          <w:szCs w:val="24"/>
        </w:rPr>
      </w:pPr>
      <w:r>
        <w:rPr>
          <w:rFonts w:ascii="Arial" w:hAnsi="Arial" w:cs="Arial"/>
          <w:sz w:val="24"/>
          <w:szCs w:val="24"/>
        </w:rPr>
        <w:t>Varied detector parameters:</w:t>
      </w:r>
    </w:p>
    <w:p w14:paraId="398EACC9" w14:textId="16DA0E30" w:rsidR="001A2BB6" w:rsidRDefault="001A2BB6" w:rsidP="001A2BB6">
      <w:pPr>
        <w:pStyle w:val="ListParagraph"/>
        <w:numPr>
          <w:ilvl w:val="2"/>
          <w:numId w:val="5"/>
        </w:numPr>
        <w:rPr>
          <w:rFonts w:ascii="Arial" w:hAnsi="Arial" w:cs="Arial"/>
          <w:sz w:val="24"/>
          <w:szCs w:val="24"/>
        </w:rPr>
      </w:pPr>
      <w:r>
        <w:rPr>
          <w:rFonts w:ascii="Arial" w:hAnsi="Arial" w:cs="Arial"/>
          <w:sz w:val="24"/>
          <w:szCs w:val="24"/>
        </w:rPr>
        <w:t>Ge Diameter – large effect (it is the overall volume that has the largest effect)</w:t>
      </w:r>
    </w:p>
    <w:p w14:paraId="3266170B" w14:textId="64A01266" w:rsidR="001A2BB6" w:rsidRDefault="001A2BB6" w:rsidP="001A2BB6">
      <w:pPr>
        <w:pStyle w:val="ListParagraph"/>
        <w:numPr>
          <w:ilvl w:val="2"/>
          <w:numId w:val="5"/>
        </w:numPr>
        <w:rPr>
          <w:rFonts w:ascii="Arial" w:hAnsi="Arial" w:cs="Arial"/>
          <w:sz w:val="24"/>
          <w:szCs w:val="24"/>
        </w:rPr>
      </w:pPr>
      <w:r>
        <w:rPr>
          <w:rFonts w:ascii="Arial" w:hAnsi="Arial" w:cs="Arial"/>
          <w:sz w:val="24"/>
          <w:szCs w:val="24"/>
        </w:rPr>
        <w:t>Ge Length</w:t>
      </w:r>
    </w:p>
    <w:p w14:paraId="31820900" w14:textId="4211D4D5" w:rsidR="001A2BB6" w:rsidRDefault="001A2BB6" w:rsidP="001A2BB6">
      <w:pPr>
        <w:pStyle w:val="ListParagraph"/>
        <w:numPr>
          <w:ilvl w:val="2"/>
          <w:numId w:val="5"/>
        </w:numPr>
        <w:rPr>
          <w:rFonts w:ascii="Arial" w:hAnsi="Arial" w:cs="Arial"/>
          <w:sz w:val="24"/>
          <w:szCs w:val="24"/>
        </w:rPr>
      </w:pPr>
      <w:r>
        <w:rPr>
          <w:rFonts w:ascii="Arial" w:hAnsi="Arial" w:cs="Arial"/>
          <w:sz w:val="24"/>
          <w:szCs w:val="24"/>
        </w:rPr>
        <w:t>Inner Hole Diameter</w:t>
      </w:r>
    </w:p>
    <w:p w14:paraId="411ECC37" w14:textId="7F41B56D" w:rsidR="001A2BB6" w:rsidRDefault="001A2BB6" w:rsidP="001A2BB6">
      <w:pPr>
        <w:pStyle w:val="ListParagraph"/>
        <w:numPr>
          <w:ilvl w:val="2"/>
          <w:numId w:val="5"/>
        </w:numPr>
        <w:rPr>
          <w:rFonts w:ascii="Arial" w:hAnsi="Arial" w:cs="Arial"/>
          <w:sz w:val="24"/>
          <w:szCs w:val="24"/>
        </w:rPr>
      </w:pPr>
      <w:r>
        <w:rPr>
          <w:rFonts w:ascii="Arial" w:hAnsi="Arial" w:cs="Arial"/>
          <w:sz w:val="24"/>
          <w:szCs w:val="24"/>
        </w:rPr>
        <w:t>Ge position with respect to the Be window – large effect</w:t>
      </w:r>
    </w:p>
    <w:p w14:paraId="465EF704" w14:textId="6B288F7E" w:rsidR="001A2BB6" w:rsidRDefault="001A2BB6" w:rsidP="001A2BB6">
      <w:pPr>
        <w:pStyle w:val="ListParagraph"/>
        <w:numPr>
          <w:ilvl w:val="2"/>
          <w:numId w:val="5"/>
        </w:numPr>
        <w:rPr>
          <w:rFonts w:ascii="Arial" w:hAnsi="Arial" w:cs="Arial"/>
          <w:sz w:val="24"/>
          <w:szCs w:val="24"/>
        </w:rPr>
      </w:pPr>
      <w:r>
        <w:rPr>
          <w:rFonts w:ascii="Arial" w:hAnsi="Arial" w:cs="Arial"/>
          <w:sz w:val="24"/>
          <w:szCs w:val="24"/>
        </w:rPr>
        <w:t>Dead layer – affects the active volume, and is also an attenuating layer that can stop less penetrating radiation</w:t>
      </w:r>
    </w:p>
    <w:p w14:paraId="29E2DCEA" w14:textId="5D20B5DF" w:rsidR="001A2BB6" w:rsidRDefault="001A2BB6" w:rsidP="001A2BB6">
      <w:pPr>
        <w:pStyle w:val="ListParagraph"/>
        <w:numPr>
          <w:ilvl w:val="0"/>
          <w:numId w:val="5"/>
        </w:numPr>
        <w:rPr>
          <w:rFonts w:ascii="Arial" w:hAnsi="Arial" w:cs="Arial"/>
          <w:sz w:val="24"/>
          <w:szCs w:val="24"/>
        </w:rPr>
      </w:pPr>
      <w:r>
        <w:rPr>
          <w:rFonts w:ascii="Arial" w:hAnsi="Arial" w:cs="Arial"/>
          <w:sz w:val="24"/>
          <w:szCs w:val="24"/>
        </w:rPr>
        <w:t>Optimized Detector Geometry:</w:t>
      </w:r>
      <w:r w:rsidR="00F96BCB">
        <w:rPr>
          <w:rFonts w:ascii="Arial" w:hAnsi="Arial" w:cs="Arial"/>
          <w:sz w:val="24"/>
          <w:szCs w:val="24"/>
        </w:rPr>
        <w:t xml:space="preserve">  The method of optimizing detector parameters to reproduce experimental data</w:t>
      </w:r>
    </w:p>
    <w:p w14:paraId="71F75419" w14:textId="2D14D7CF" w:rsidR="001A2BB6" w:rsidRDefault="00F96BCB" w:rsidP="001A2BB6">
      <w:pPr>
        <w:pStyle w:val="ListParagraph"/>
        <w:numPr>
          <w:ilvl w:val="1"/>
          <w:numId w:val="5"/>
        </w:numPr>
        <w:rPr>
          <w:rFonts w:ascii="Arial" w:hAnsi="Arial" w:cs="Arial"/>
          <w:sz w:val="24"/>
          <w:szCs w:val="24"/>
        </w:rPr>
      </w:pPr>
      <w:r>
        <w:rPr>
          <w:rFonts w:ascii="Arial" w:hAnsi="Arial" w:cs="Arial"/>
          <w:sz w:val="24"/>
          <w:szCs w:val="24"/>
        </w:rPr>
        <w:t>Crystal Diameter, Length, and the dead layer thickness adjustments have obtained results with a 5-10% relative deviation</w:t>
      </w:r>
      <w:proofErr w:type="gramStart"/>
      <w:r>
        <w:rPr>
          <w:rFonts w:ascii="Arial" w:hAnsi="Arial" w:cs="Arial"/>
          <w:sz w:val="24"/>
          <w:szCs w:val="24"/>
        </w:rPr>
        <w:t>.(</w:t>
      </w:r>
      <w:proofErr w:type="gramEnd"/>
      <w:r>
        <w:rPr>
          <w:rFonts w:ascii="Arial" w:hAnsi="Arial" w:cs="Arial"/>
          <w:sz w:val="24"/>
          <w:szCs w:val="24"/>
        </w:rPr>
        <w:t>Liye et al.2004),Binquan et al.2005, bochud et al 2006).</w:t>
      </w:r>
    </w:p>
    <w:p w14:paraId="4AEE252C" w14:textId="5918F3D1" w:rsidR="00F96BCB" w:rsidRDefault="00F96BCB" w:rsidP="001A2BB6">
      <w:pPr>
        <w:pStyle w:val="ListParagraph"/>
        <w:numPr>
          <w:ilvl w:val="1"/>
          <w:numId w:val="5"/>
        </w:numPr>
        <w:rPr>
          <w:rFonts w:ascii="Arial" w:hAnsi="Arial" w:cs="Arial"/>
          <w:sz w:val="24"/>
          <w:szCs w:val="24"/>
        </w:rPr>
      </w:pPr>
      <w:r>
        <w:rPr>
          <w:rFonts w:ascii="Arial" w:hAnsi="Arial" w:cs="Arial"/>
          <w:sz w:val="24"/>
          <w:szCs w:val="24"/>
        </w:rPr>
        <w:t>Tzika et al (2010) adjusted only the dead layer thickness and obtained results with 10% relative deviation</w:t>
      </w:r>
    </w:p>
    <w:p w14:paraId="52927ED8" w14:textId="37A3A336" w:rsidR="00F96BCB" w:rsidRDefault="00F96BCB" w:rsidP="001A2BB6">
      <w:pPr>
        <w:pStyle w:val="ListParagraph"/>
        <w:numPr>
          <w:ilvl w:val="1"/>
          <w:numId w:val="5"/>
        </w:numPr>
        <w:rPr>
          <w:rFonts w:ascii="Arial" w:hAnsi="Arial" w:cs="Arial"/>
          <w:sz w:val="24"/>
          <w:szCs w:val="24"/>
        </w:rPr>
      </w:pPr>
      <w:r>
        <w:rPr>
          <w:rFonts w:ascii="Arial" w:hAnsi="Arial" w:cs="Arial"/>
          <w:sz w:val="24"/>
          <w:szCs w:val="24"/>
        </w:rPr>
        <w:t>Karamanis (2003): increased the Ge-Al end cap distance by 8 mm, and the entrance Li dead layer by 600 um to get results within 5%</w:t>
      </w:r>
    </w:p>
    <w:p w14:paraId="1FA7B0B8" w14:textId="56AA503A" w:rsidR="00F96BCB" w:rsidRDefault="00F96BCB" w:rsidP="00F96BCB">
      <w:pPr>
        <w:pStyle w:val="ListParagraph"/>
        <w:numPr>
          <w:ilvl w:val="1"/>
          <w:numId w:val="5"/>
        </w:numPr>
        <w:rPr>
          <w:rFonts w:ascii="Arial" w:hAnsi="Arial" w:cs="Arial"/>
          <w:sz w:val="24"/>
          <w:szCs w:val="24"/>
        </w:rPr>
      </w:pPr>
      <w:r>
        <w:rPr>
          <w:rFonts w:ascii="Arial" w:hAnsi="Arial" w:cs="Arial"/>
          <w:sz w:val="24"/>
          <w:szCs w:val="24"/>
        </w:rPr>
        <w:t>It’s been seen that most simulation codes can be used for routine measurements with 5-10% uncertainty – EUROMET exercise (lepy 2001)</w:t>
      </w:r>
    </w:p>
    <w:p w14:paraId="5ED4B821" w14:textId="14ADB67F" w:rsidR="00F96BCB" w:rsidRDefault="00F96BCB" w:rsidP="00F96BCB">
      <w:pPr>
        <w:pStyle w:val="ListParagraph"/>
        <w:numPr>
          <w:ilvl w:val="1"/>
          <w:numId w:val="5"/>
        </w:numPr>
        <w:rPr>
          <w:rFonts w:ascii="Arial" w:hAnsi="Arial" w:cs="Arial"/>
          <w:sz w:val="24"/>
          <w:szCs w:val="24"/>
        </w:rPr>
      </w:pPr>
      <w:r>
        <w:rPr>
          <w:rFonts w:ascii="Arial" w:hAnsi="Arial" w:cs="Arial"/>
          <w:sz w:val="24"/>
          <w:szCs w:val="24"/>
        </w:rPr>
        <w:t xml:space="preserve">Helmer 2003, Hardy 2002, Wang 2002 – obtained results less than 2% </w:t>
      </w:r>
      <w:r w:rsidRPr="00F96BCB">
        <w:rPr>
          <w:rFonts w:ascii="Arial" w:hAnsi="Arial" w:cs="Arial"/>
          <w:sz w:val="24"/>
          <w:szCs w:val="24"/>
        </w:rPr>
        <w:t>deviation</w:t>
      </w:r>
    </w:p>
    <w:p w14:paraId="673EEB72" w14:textId="42E23C6B" w:rsidR="00F96BCB" w:rsidRDefault="00F96BCB" w:rsidP="00F96BCB">
      <w:pPr>
        <w:pStyle w:val="ListParagraph"/>
        <w:numPr>
          <w:ilvl w:val="1"/>
          <w:numId w:val="5"/>
        </w:numPr>
        <w:rPr>
          <w:rFonts w:ascii="Arial" w:hAnsi="Arial" w:cs="Arial"/>
          <w:sz w:val="24"/>
          <w:szCs w:val="24"/>
        </w:rPr>
      </w:pPr>
      <w:r>
        <w:rPr>
          <w:rFonts w:ascii="Arial" w:hAnsi="Arial" w:cs="Arial"/>
          <w:sz w:val="24"/>
          <w:szCs w:val="24"/>
        </w:rPr>
        <w:lastRenderedPageBreak/>
        <w:t xml:space="preserve">Budjas 2009, obtained results with an accuracy of 3% by adjusting the dead layer thickness and inner </w:t>
      </w:r>
      <w:proofErr w:type="gramStart"/>
      <w:r>
        <w:rPr>
          <w:rFonts w:ascii="Arial" w:hAnsi="Arial" w:cs="Arial"/>
          <w:sz w:val="24"/>
          <w:szCs w:val="24"/>
        </w:rPr>
        <w:t>hole</w:t>
      </w:r>
      <w:proofErr w:type="gramEnd"/>
      <w:r>
        <w:rPr>
          <w:rFonts w:ascii="Arial" w:hAnsi="Arial" w:cs="Arial"/>
          <w:sz w:val="24"/>
          <w:szCs w:val="24"/>
        </w:rPr>
        <w:t xml:space="preserve"> radius of a p-type detector.</w:t>
      </w:r>
    </w:p>
    <w:p w14:paraId="73DB65ED" w14:textId="7C37DC64" w:rsidR="00F96BCB" w:rsidRDefault="00205384" w:rsidP="00F96BCB">
      <w:pPr>
        <w:pStyle w:val="ListParagraph"/>
        <w:numPr>
          <w:ilvl w:val="1"/>
          <w:numId w:val="5"/>
        </w:numPr>
        <w:rPr>
          <w:rFonts w:ascii="Arial" w:hAnsi="Arial" w:cs="Arial"/>
          <w:sz w:val="24"/>
          <w:szCs w:val="24"/>
        </w:rPr>
      </w:pPr>
      <w:r>
        <w:rPr>
          <w:rFonts w:ascii="Arial" w:hAnsi="Arial" w:cs="Arial"/>
          <w:sz w:val="24"/>
          <w:szCs w:val="24"/>
        </w:rPr>
        <w:t>Detector used: Closed End, Coaxial p-type DSG HPGe detector, 20% relative efficiency</w:t>
      </w:r>
    </w:p>
    <w:p w14:paraId="2BC636D3" w14:textId="06A20839" w:rsidR="00205384" w:rsidRDefault="00205384" w:rsidP="00205384">
      <w:pPr>
        <w:pStyle w:val="ListParagraph"/>
        <w:numPr>
          <w:ilvl w:val="2"/>
          <w:numId w:val="5"/>
        </w:numPr>
        <w:rPr>
          <w:rFonts w:ascii="Arial" w:hAnsi="Arial" w:cs="Arial"/>
          <w:sz w:val="24"/>
          <w:szCs w:val="24"/>
        </w:rPr>
      </w:pPr>
      <w:r>
        <w:rPr>
          <w:rFonts w:ascii="Arial" w:hAnsi="Arial" w:cs="Arial"/>
          <w:sz w:val="24"/>
          <w:szCs w:val="24"/>
        </w:rPr>
        <w:t>10E8 particles</w:t>
      </w:r>
    </w:p>
    <w:p w14:paraId="11221554" w14:textId="274122BD" w:rsidR="00205384" w:rsidRDefault="00205384" w:rsidP="00205384">
      <w:pPr>
        <w:pStyle w:val="ListParagraph"/>
        <w:numPr>
          <w:ilvl w:val="2"/>
          <w:numId w:val="5"/>
        </w:numPr>
        <w:rPr>
          <w:rFonts w:ascii="Arial" w:hAnsi="Arial" w:cs="Arial"/>
          <w:sz w:val="24"/>
          <w:szCs w:val="24"/>
        </w:rPr>
      </w:pPr>
      <w:r>
        <w:rPr>
          <w:rFonts w:ascii="Arial" w:hAnsi="Arial" w:cs="Arial"/>
          <w:sz w:val="24"/>
          <w:szCs w:val="24"/>
        </w:rPr>
        <w:t>See Figure:</w:t>
      </w:r>
    </w:p>
    <w:p w14:paraId="08DE7951" w14:textId="609718D4" w:rsidR="00205384" w:rsidRPr="00205384" w:rsidRDefault="00205384" w:rsidP="00205384">
      <w:pPr>
        <w:jc w:val="center"/>
        <w:rPr>
          <w:rFonts w:ascii="Arial" w:hAnsi="Arial" w:cs="Arial"/>
          <w:sz w:val="24"/>
          <w:szCs w:val="24"/>
        </w:rPr>
      </w:pPr>
      <w:r>
        <w:rPr>
          <w:noProof/>
        </w:rPr>
        <w:drawing>
          <wp:inline distT="0" distB="0" distL="0" distR="0" wp14:anchorId="1FA07295" wp14:editId="5A849B05">
            <wp:extent cx="5943600" cy="4457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7065"/>
                    </a:xfrm>
                    <a:prstGeom prst="rect">
                      <a:avLst/>
                    </a:prstGeom>
                  </pic:spPr>
                </pic:pic>
              </a:graphicData>
            </a:graphic>
          </wp:inline>
        </w:drawing>
      </w:r>
    </w:p>
    <w:p w14:paraId="12398219" w14:textId="6766D515" w:rsidR="00D44564" w:rsidRDefault="00D44564" w:rsidP="00D44564">
      <w:pPr>
        <w:pStyle w:val="ListParagraph"/>
        <w:numPr>
          <w:ilvl w:val="2"/>
          <w:numId w:val="5"/>
        </w:numPr>
        <w:rPr>
          <w:rFonts w:ascii="Arial" w:hAnsi="Arial" w:cs="Arial"/>
          <w:sz w:val="24"/>
          <w:szCs w:val="24"/>
        </w:rPr>
      </w:pPr>
      <w:r>
        <w:rPr>
          <w:rFonts w:ascii="Arial" w:hAnsi="Arial" w:cs="Arial"/>
          <w:sz w:val="24"/>
          <w:szCs w:val="24"/>
        </w:rPr>
        <w:t>There was found to be a strong dependence on sample-to-detector distance</w:t>
      </w:r>
    </w:p>
    <w:p w14:paraId="6F096290" w14:textId="073A55E3" w:rsidR="00D44564" w:rsidRDefault="00D44564" w:rsidP="00D44564">
      <w:pPr>
        <w:pStyle w:val="ListParagraph"/>
        <w:numPr>
          <w:ilvl w:val="2"/>
          <w:numId w:val="5"/>
        </w:numPr>
        <w:rPr>
          <w:rFonts w:ascii="Arial" w:hAnsi="Arial" w:cs="Arial"/>
          <w:sz w:val="24"/>
          <w:szCs w:val="24"/>
        </w:rPr>
      </w:pPr>
      <w:r>
        <w:rPr>
          <w:rFonts w:ascii="Arial" w:hAnsi="Arial" w:cs="Arial"/>
          <w:sz w:val="24"/>
          <w:szCs w:val="24"/>
        </w:rPr>
        <w:t>Assume large dimensions measured by the manufacturer are not more than 10% off</w:t>
      </w:r>
    </w:p>
    <w:p w14:paraId="2DF0BAC8" w14:textId="1DB80216" w:rsidR="00D44564" w:rsidRDefault="0097167F" w:rsidP="00D44564">
      <w:pPr>
        <w:pStyle w:val="ListParagraph"/>
        <w:numPr>
          <w:ilvl w:val="2"/>
          <w:numId w:val="5"/>
        </w:numPr>
        <w:rPr>
          <w:rFonts w:ascii="Arial" w:hAnsi="Arial" w:cs="Arial"/>
          <w:sz w:val="24"/>
          <w:szCs w:val="24"/>
        </w:rPr>
      </w:pPr>
      <w:r>
        <w:rPr>
          <w:rFonts w:ascii="Arial" w:hAnsi="Arial" w:cs="Arial"/>
          <w:sz w:val="24"/>
          <w:szCs w:val="24"/>
        </w:rPr>
        <w:t>Found that the Al end capt to crystal distance was the main source of discrepancy between the experimental and MCNP results.  Huge change from 3 mm to 9 mm</w:t>
      </w:r>
    </w:p>
    <w:p w14:paraId="184EAFB9" w14:textId="79FE05A7" w:rsidR="0097167F" w:rsidRPr="00D44564" w:rsidRDefault="0042739E" w:rsidP="0042739E">
      <w:pPr>
        <w:pStyle w:val="ListParagraph"/>
        <w:numPr>
          <w:ilvl w:val="3"/>
          <w:numId w:val="5"/>
        </w:numPr>
        <w:rPr>
          <w:rFonts w:ascii="Arial" w:hAnsi="Arial" w:cs="Arial"/>
          <w:sz w:val="24"/>
          <w:szCs w:val="24"/>
        </w:rPr>
      </w:pPr>
      <w:r>
        <w:rPr>
          <w:rFonts w:ascii="Arial" w:hAnsi="Arial" w:cs="Arial"/>
          <w:sz w:val="24"/>
          <w:szCs w:val="24"/>
        </w:rPr>
        <w:t>I feel this is because the “active volume of the Ge crystal in reality is inefficient over the first few mm down the Ge crystal due to the geometry of the closed end coaxial.  Not because the Ge crystal</w:t>
      </w:r>
    </w:p>
    <w:p w14:paraId="39867B6C" w14:textId="77777777" w:rsidR="00E215FD" w:rsidRDefault="00E215FD" w:rsidP="001A2BB6">
      <w:pPr>
        <w:rPr>
          <w:rFonts w:ascii="Arial" w:hAnsi="Arial" w:cs="Arial"/>
          <w:sz w:val="24"/>
          <w:szCs w:val="24"/>
        </w:rPr>
      </w:pPr>
    </w:p>
    <w:p w14:paraId="1FEDCF5F" w14:textId="01392012" w:rsidR="001A2BB6" w:rsidRPr="001A2BB6" w:rsidRDefault="001A2BB6" w:rsidP="001A2BB6">
      <w:pPr>
        <w:rPr>
          <w:rFonts w:ascii="Arial" w:hAnsi="Arial" w:cs="Arial"/>
          <w:sz w:val="24"/>
          <w:szCs w:val="24"/>
        </w:rPr>
      </w:pPr>
      <w:r>
        <w:rPr>
          <w:rFonts w:ascii="Arial" w:hAnsi="Arial" w:cs="Arial"/>
          <w:sz w:val="24"/>
          <w:szCs w:val="24"/>
        </w:rPr>
        <w:lastRenderedPageBreak/>
        <w:t xml:space="preserve">Read Vargas et al. (2002) and </w:t>
      </w:r>
      <w:proofErr w:type="gramStart"/>
      <w:r>
        <w:rPr>
          <w:rFonts w:ascii="Arial" w:hAnsi="Arial" w:cs="Arial"/>
          <w:sz w:val="24"/>
          <w:szCs w:val="24"/>
        </w:rPr>
        <w:t>kah(</w:t>
      </w:r>
      <w:proofErr w:type="gramEnd"/>
      <w:r>
        <w:rPr>
          <w:rFonts w:ascii="Arial" w:hAnsi="Arial" w:cs="Arial"/>
          <w:sz w:val="24"/>
          <w:szCs w:val="24"/>
        </w:rPr>
        <w:t>2003)</w:t>
      </w:r>
    </w:p>
    <w:p w14:paraId="3C038429" w14:textId="56D48DB4" w:rsidR="0016516C" w:rsidRPr="0016516C" w:rsidRDefault="00E33B59" w:rsidP="0016516C">
      <w:pPr>
        <w:rPr>
          <w:rFonts w:ascii="Arial" w:hAnsi="Arial" w:cs="Arial"/>
          <w:sz w:val="24"/>
          <w:szCs w:val="24"/>
        </w:rPr>
      </w:pPr>
      <w:r w:rsidRPr="00E33B59">
        <w:rPr>
          <w:rFonts w:ascii="Arial" w:hAnsi="Arial" w:cs="Arial"/>
          <w:sz w:val="24"/>
          <w:szCs w:val="24"/>
        </w:rPr>
        <w:t>http://www.sciencedirect.com/science/article/pii/S0969806X16302791</w:t>
      </w:r>
    </w:p>
    <w:sectPr w:rsidR="0016516C" w:rsidRPr="0016516C">
      <w:head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ryan Egner" w:date="2017-11-11T11:19:00Z" w:initials="BE">
    <w:p w14:paraId="2457CD59" w14:textId="77777777" w:rsidR="00A029E4" w:rsidRDefault="00A029E4">
      <w:pPr>
        <w:pStyle w:val="CommentText"/>
      </w:pPr>
      <w:r>
        <w:rPr>
          <w:rStyle w:val="CommentReference"/>
        </w:rPr>
        <w:annotationRef/>
      </w:r>
      <w:r>
        <w:t>Once the model is complete, we can see if this actually affects anything by increasing/decreasing it by a significant amount, and if it doesn’t do anything, then we’ll leave it as 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57CD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16955D" w14:textId="77777777" w:rsidR="00030843" w:rsidRDefault="00030843" w:rsidP="00C6583B">
      <w:pPr>
        <w:spacing w:after="0" w:line="240" w:lineRule="auto"/>
      </w:pPr>
      <w:r>
        <w:separator/>
      </w:r>
    </w:p>
  </w:endnote>
  <w:endnote w:type="continuationSeparator" w:id="0">
    <w:p w14:paraId="5FADA88D" w14:textId="77777777" w:rsidR="00030843" w:rsidRDefault="00030843" w:rsidP="00C65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955396" w14:textId="77777777" w:rsidR="00030843" w:rsidRDefault="00030843" w:rsidP="00C6583B">
      <w:pPr>
        <w:spacing w:after="0" w:line="240" w:lineRule="auto"/>
      </w:pPr>
      <w:r>
        <w:separator/>
      </w:r>
    </w:p>
  </w:footnote>
  <w:footnote w:type="continuationSeparator" w:id="0">
    <w:p w14:paraId="3B010AB0" w14:textId="77777777" w:rsidR="00030843" w:rsidRDefault="00030843" w:rsidP="00C658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0A30F" w14:textId="77777777" w:rsidR="00C6583B" w:rsidRDefault="00C6583B">
    <w:pPr>
      <w:pStyle w:val="Header"/>
    </w:pPr>
    <w:r>
      <w:t>HPGe MCNP Model, Literature Search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D33F10"/>
    <w:multiLevelType w:val="hybridMultilevel"/>
    <w:tmpl w:val="0532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F49CD"/>
    <w:multiLevelType w:val="hybridMultilevel"/>
    <w:tmpl w:val="00484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477055"/>
    <w:multiLevelType w:val="hybridMultilevel"/>
    <w:tmpl w:val="8FFC3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C16CD1"/>
    <w:multiLevelType w:val="hybridMultilevel"/>
    <w:tmpl w:val="99BEA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CE47E9"/>
    <w:multiLevelType w:val="hybridMultilevel"/>
    <w:tmpl w:val="E968F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yan Egner">
    <w15:presenceInfo w15:providerId="Windows Live" w15:userId="088a69ced1bc04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83B"/>
    <w:rsid w:val="00030843"/>
    <w:rsid w:val="0008154B"/>
    <w:rsid w:val="0016516C"/>
    <w:rsid w:val="001A2BB6"/>
    <w:rsid w:val="00205384"/>
    <w:rsid w:val="00286926"/>
    <w:rsid w:val="002A2CAD"/>
    <w:rsid w:val="0042739E"/>
    <w:rsid w:val="00531237"/>
    <w:rsid w:val="005D75DA"/>
    <w:rsid w:val="006C611A"/>
    <w:rsid w:val="007124FC"/>
    <w:rsid w:val="0071743A"/>
    <w:rsid w:val="00896198"/>
    <w:rsid w:val="008B75F1"/>
    <w:rsid w:val="00904BEE"/>
    <w:rsid w:val="0097167F"/>
    <w:rsid w:val="00A029E4"/>
    <w:rsid w:val="00B2408B"/>
    <w:rsid w:val="00BA12A9"/>
    <w:rsid w:val="00BB2858"/>
    <w:rsid w:val="00C40FAE"/>
    <w:rsid w:val="00C6583B"/>
    <w:rsid w:val="00D026FF"/>
    <w:rsid w:val="00D44564"/>
    <w:rsid w:val="00D90BED"/>
    <w:rsid w:val="00DB2225"/>
    <w:rsid w:val="00E215FD"/>
    <w:rsid w:val="00E33B59"/>
    <w:rsid w:val="00E64023"/>
    <w:rsid w:val="00EC6A9D"/>
    <w:rsid w:val="00F75C41"/>
    <w:rsid w:val="00F96BCB"/>
    <w:rsid w:val="00FC6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FBA51"/>
  <w15:chartTrackingRefBased/>
  <w15:docId w15:val="{22D15128-BC81-4CDC-8065-000164300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58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83B"/>
  </w:style>
  <w:style w:type="paragraph" w:styleId="Footer">
    <w:name w:val="footer"/>
    <w:basedOn w:val="Normal"/>
    <w:link w:val="FooterChar"/>
    <w:uiPriority w:val="99"/>
    <w:unhideWhenUsed/>
    <w:rsid w:val="00C658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83B"/>
  </w:style>
  <w:style w:type="paragraph" w:styleId="ListParagraph">
    <w:name w:val="List Paragraph"/>
    <w:basedOn w:val="Normal"/>
    <w:uiPriority w:val="34"/>
    <w:qFormat/>
    <w:rsid w:val="00C6583B"/>
    <w:pPr>
      <w:ind w:left="720"/>
      <w:contextualSpacing/>
    </w:pPr>
  </w:style>
  <w:style w:type="paragraph" w:styleId="BodyText">
    <w:name w:val="Body Text"/>
    <w:link w:val="BodyTextChar"/>
    <w:rsid w:val="008B75F1"/>
    <w:pPr>
      <w:spacing w:before="60" w:after="120" w:line="240" w:lineRule="auto"/>
      <w:ind w:firstLine="360"/>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B75F1"/>
    <w:rPr>
      <w:rFonts w:ascii="Times New Roman" w:eastAsia="Times New Roman" w:hAnsi="Times New Roman" w:cs="Times New Roman"/>
      <w:szCs w:val="20"/>
    </w:rPr>
  </w:style>
  <w:style w:type="character" w:styleId="Hyperlink">
    <w:name w:val="Hyperlink"/>
    <w:basedOn w:val="DefaultParagraphFont"/>
    <w:uiPriority w:val="99"/>
    <w:unhideWhenUsed/>
    <w:rsid w:val="0016516C"/>
    <w:rPr>
      <w:color w:val="0563C1" w:themeColor="hyperlink"/>
      <w:u w:val="single"/>
    </w:rPr>
  </w:style>
  <w:style w:type="character" w:styleId="CommentReference">
    <w:name w:val="annotation reference"/>
    <w:basedOn w:val="DefaultParagraphFont"/>
    <w:uiPriority w:val="99"/>
    <w:semiHidden/>
    <w:unhideWhenUsed/>
    <w:rsid w:val="00A029E4"/>
    <w:rPr>
      <w:sz w:val="16"/>
      <w:szCs w:val="16"/>
    </w:rPr>
  </w:style>
  <w:style w:type="paragraph" w:styleId="CommentText">
    <w:name w:val="annotation text"/>
    <w:basedOn w:val="Normal"/>
    <w:link w:val="CommentTextChar"/>
    <w:uiPriority w:val="99"/>
    <w:semiHidden/>
    <w:unhideWhenUsed/>
    <w:rsid w:val="00A029E4"/>
    <w:pPr>
      <w:spacing w:line="240" w:lineRule="auto"/>
    </w:pPr>
    <w:rPr>
      <w:sz w:val="20"/>
      <w:szCs w:val="20"/>
    </w:rPr>
  </w:style>
  <w:style w:type="character" w:customStyle="1" w:styleId="CommentTextChar">
    <w:name w:val="Comment Text Char"/>
    <w:basedOn w:val="DefaultParagraphFont"/>
    <w:link w:val="CommentText"/>
    <w:uiPriority w:val="99"/>
    <w:semiHidden/>
    <w:rsid w:val="00A029E4"/>
    <w:rPr>
      <w:sz w:val="20"/>
      <w:szCs w:val="20"/>
    </w:rPr>
  </w:style>
  <w:style w:type="paragraph" w:styleId="CommentSubject">
    <w:name w:val="annotation subject"/>
    <w:basedOn w:val="CommentText"/>
    <w:next w:val="CommentText"/>
    <w:link w:val="CommentSubjectChar"/>
    <w:uiPriority w:val="99"/>
    <w:semiHidden/>
    <w:unhideWhenUsed/>
    <w:rsid w:val="00A029E4"/>
    <w:rPr>
      <w:b/>
      <w:bCs/>
    </w:rPr>
  </w:style>
  <w:style w:type="character" w:customStyle="1" w:styleId="CommentSubjectChar">
    <w:name w:val="Comment Subject Char"/>
    <w:basedOn w:val="CommentTextChar"/>
    <w:link w:val="CommentSubject"/>
    <w:uiPriority w:val="99"/>
    <w:semiHidden/>
    <w:rsid w:val="00A029E4"/>
    <w:rPr>
      <w:b/>
      <w:bCs/>
      <w:sz w:val="20"/>
      <w:szCs w:val="20"/>
    </w:rPr>
  </w:style>
  <w:style w:type="paragraph" w:styleId="BalloonText">
    <w:name w:val="Balloon Text"/>
    <w:basedOn w:val="Normal"/>
    <w:link w:val="BalloonTextChar"/>
    <w:uiPriority w:val="99"/>
    <w:semiHidden/>
    <w:unhideWhenUsed/>
    <w:rsid w:val="00A029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29E4"/>
    <w:rPr>
      <w:rFonts w:ascii="Segoe UI" w:hAnsi="Segoe UI" w:cs="Segoe UI"/>
      <w:sz w:val="18"/>
      <w:szCs w:val="18"/>
    </w:rPr>
  </w:style>
  <w:style w:type="character" w:styleId="FollowedHyperlink">
    <w:name w:val="FollowedHyperlink"/>
    <w:basedOn w:val="DefaultParagraphFont"/>
    <w:uiPriority w:val="99"/>
    <w:semiHidden/>
    <w:unhideWhenUsed/>
    <w:rsid w:val="00E33B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ucleide.org/ICRM_GSWG/Workshop_2009/01_Monday_morning/05.%20HPGe%20MC_CMI.pdf"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hodhganga.inflibnet.ac.in/bitstream/10603/4710/14/14_chapter%205.pdf"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www.ortec-online.com/-/media/ametekortec/technical%20papers/high%20purity%20germanium%20detector%20applications%20and%20technology%20developements/efficiency-resolution-germanium-detectors-marc-03.pdf?la=en" TargetMode="External"/><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IEE96</b:Tag>
    <b:SourceType>Book</b:SourceType>
    <b:Guid>{E4F2310A-D666-49ED-939E-E8402427C8A5}</b:Guid>
    <b:Author>
      <b:Author>
        <b:Corporate>IEEE</b:Corporate>
      </b:Author>
    </b:Author>
    <b:Title>Standard Test Procedures for Germanium Gamma-Ray Detectors</b:Title>
    <b:Year>1996</b:Year>
    <b:Publisher>IEEE doi: 10.1109/IEEESTD.1993.115139</b:Publisher>
    <b:RefOrder>3</b:RefOrder>
  </b:Source>
</b:Sources>
</file>

<file path=customXml/itemProps1.xml><?xml version="1.0" encoding="utf-8"?>
<ds:datastoreItem xmlns:ds="http://schemas.openxmlformats.org/officeDocument/2006/customXml" ds:itemID="{816ADD7C-B9C3-4339-9B3D-470F8661B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8</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Egner</dc:creator>
  <cp:keywords/>
  <dc:description/>
  <cp:lastModifiedBy>Bryan Egner</cp:lastModifiedBy>
  <cp:revision>12</cp:revision>
  <dcterms:created xsi:type="dcterms:W3CDTF">2017-11-09T22:12:00Z</dcterms:created>
  <dcterms:modified xsi:type="dcterms:W3CDTF">2017-12-02T17:59:00Z</dcterms:modified>
</cp:coreProperties>
</file>