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738" w:rsidRDefault="00363738" w:rsidP="003D4D0F">
      <w:pPr>
        <w:ind w:left="270"/>
        <w:jc w:val="center"/>
      </w:pPr>
      <w:bookmarkStart w:id="0" w:name="_Toc268941291"/>
      <w:bookmarkStart w:id="1" w:name="_GoBack"/>
      <w:bookmarkEnd w:id="1"/>
      <w:r>
        <w:t>Complete the following SEMP sections for</w:t>
      </w:r>
      <w:r w:rsidR="000957D0">
        <w:t>:</w:t>
      </w:r>
      <w:r>
        <w:t xml:space="preserve"> </w:t>
      </w:r>
      <w:r w:rsidR="003D4D0F">
        <w:br/>
      </w:r>
      <w:r>
        <w:rPr>
          <w:b/>
        </w:rPr>
        <w:t>The DARP</w:t>
      </w:r>
      <w:r w:rsidR="009A404D">
        <w:rPr>
          <w:b/>
        </w:rPr>
        <w:t>A</w:t>
      </w:r>
      <w:r>
        <w:rPr>
          <w:b/>
        </w:rPr>
        <w:t xml:space="preserve"> Urban Challenge – See </w:t>
      </w:r>
      <w:r w:rsidR="003F477C">
        <w:rPr>
          <w:b/>
        </w:rPr>
        <w:t>Canvas</w:t>
      </w:r>
      <w:r>
        <w:rPr>
          <w:b/>
        </w:rPr>
        <w:t>/Course Documents</w:t>
      </w:r>
      <w:r w:rsidR="006F2F97">
        <w:rPr>
          <w:b/>
        </w:rPr>
        <w:t xml:space="preserve"> – Or other Project</w:t>
      </w:r>
    </w:p>
    <w:p w:rsidR="006B28E1" w:rsidRDefault="006B28E1" w:rsidP="006B28E1">
      <w:pPr>
        <w:pStyle w:val="Heading1"/>
        <w:numPr>
          <w:ilvl w:val="0"/>
          <w:numId w:val="42"/>
        </w:numPr>
      </w:pPr>
      <w:r>
        <w:t>Program Organization</w:t>
      </w:r>
      <w:bookmarkEnd w:id="0"/>
    </w:p>
    <w:p w:rsidR="006B28E1" w:rsidRDefault="006B28E1" w:rsidP="006B28E1">
      <w:pPr>
        <w:pStyle w:val="Heading2"/>
        <w:numPr>
          <w:ilvl w:val="1"/>
          <w:numId w:val="42"/>
        </w:numPr>
        <w:tabs>
          <w:tab w:val="clear" w:pos="792"/>
        </w:tabs>
        <w:ind w:left="0" w:firstLine="0"/>
        <w:jc w:val="left"/>
      </w:pPr>
      <w:bookmarkStart w:id="2" w:name="_Toc268941292"/>
      <w:r>
        <w:t>Work Allocation: Work Breakdown Structure</w:t>
      </w:r>
      <w:bookmarkEnd w:id="2"/>
      <w:r w:rsidR="009833DD">
        <w:t xml:space="preserve"> (WBS)</w:t>
      </w:r>
    </w:p>
    <w:p w:rsidR="006B28E1" w:rsidRDefault="006B28E1" w:rsidP="006B28E1">
      <w:r>
        <w:t>Provide</w:t>
      </w:r>
      <w:r w:rsidR="00FF54BD">
        <w:t xml:space="preserve"> and describe</w:t>
      </w:r>
      <w:r>
        <w:t xml:space="preserve"> a summary work breakdown structure </w:t>
      </w:r>
      <w:r w:rsidR="008465C6">
        <w:t xml:space="preserve">to the tier 3 level </w:t>
      </w:r>
      <w:r>
        <w:t>that accomplishes the wo</w:t>
      </w:r>
      <w:r w:rsidR="008465C6">
        <w:t>rk identified in section 1</w:t>
      </w:r>
      <w:r>
        <w:t>.</w:t>
      </w:r>
      <w:r w:rsidR="00FF54BD">
        <w:t xml:space="preserve"> List the primary task completion criteria</w:t>
      </w:r>
      <w:r w:rsidR="009833DD">
        <w:t xml:space="preserve"> for each element</w:t>
      </w:r>
      <w:r w:rsidR="00FF54BD">
        <w:t>.</w:t>
      </w:r>
      <w:r w:rsidR="00DA094F">
        <w:t xml:space="preserve">  See supplemental data for MIL-STD-881 if unfamiliar with WBS.  Just remember, product (deliverable) oriented</w:t>
      </w:r>
      <w:r w:rsidR="009833DD">
        <w:t>, and only to level 3</w:t>
      </w:r>
      <w:r w:rsidR="00DA094F">
        <w:t>.</w:t>
      </w:r>
    </w:p>
    <w:p w:rsidR="006B28E1" w:rsidRDefault="006B28E1" w:rsidP="006B28E1">
      <w:pPr>
        <w:pStyle w:val="Heading2"/>
        <w:numPr>
          <w:ilvl w:val="1"/>
          <w:numId w:val="42"/>
        </w:numPr>
        <w:tabs>
          <w:tab w:val="clear" w:pos="792"/>
        </w:tabs>
        <w:ind w:left="0" w:firstLine="0"/>
        <w:jc w:val="left"/>
      </w:pPr>
      <w:bookmarkStart w:id="3" w:name="_Toc268941293"/>
      <w:r>
        <w:t>Organization Structure and Overview</w:t>
      </w:r>
      <w:bookmarkEnd w:id="3"/>
    </w:p>
    <w:p w:rsidR="006B28E1" w:rsidRDefault="006B28E1" w:rsidP="006B28E1">
      <w:r>
        <w:t xml:space="preserve">Provide a graphical organization chart. Provide a summary description of how the </w:t>
      </w:r>
      <w:r w:rsidR="009833DD">
        <w:t xml:space="preserve">roles, responsibilities, and </w:t>
      </w:r>
      <w:r>
        <w:t>relationships among organizational members help achieve Program Mission and Objectives.</w:t>
      </w:r>
      <w:r w:rsidRPr="009D576C">
        <w:t xml:space="preserve"> </w:t>
      </w:r>
      <w:r>
        <w:t>Explain any differences compared with the WBS and how the program will ensure all work is efficiently accomplished</w:t>
      </w:r>
      <w:r w:rsidRPr="00E40931">
        <w:t>.</w:t>
      </w:r>
      <w:r w:rsidR="00E40931" w:rsidRPr="00E40931">
        <w:t xml:space="preserve"> Include a responsibility assignment matrix that links the organizational </w:t>
      </w:r>
      <w:r w:rsidR="009833DD">
        <w:t xml:space="preserve">breakdown </w:t>
      </w:r>
      <w:r w:rsidR="00E40931" w:rsidRPr="00E40931">
        <w:t>structure</w:t>
      </w:r>
      <w:r w:rsidR="009833DD">
        <w:t xml:space="preserve"> (OBS)</w:t>
      </w:r>
      <w:r w:rsidR="00E40931" w:rsidRPr="00E40931">
        <w:t xml:space="preserve"> to the WBS</w:t>
      </w:r>
      <w:r w:rsidR="00AD6312">
        <w:t xml:space="preserve"> using RACI</w:t>
      </w:r>
      <w:r w:rsidR="00E40931" w:rsidRPr="00E40931">
        <w:t>.</w:t>
      </w:r>
    </w:p>
    <w:p w:rsidR="006B28E1" w:rsidRDefault="006B28E1" w:rsidP="006B28E1">
      <w:pPr>
        <w:pStyle w:val="Heading2"/>
        <w:numPr>
          <w:ilvl w:val="1"/>
          <w:numId w:val="42"/>
        </w:numPr>
        <w:tabs>
          <w:tab w:val="clear" w:pos="792"/>
        </w:tabs>
        <w:ind w:left="0" w:firstLine="0"/>
        <w:jc w:val="left"/>
      </w:pPr>
      <w:bookmarkStart w:id="4" w:name="_Toc268941294"/>
      <w:r>
        <w:t>Role, Responsibility, Authority, Accountability</w:t>
      </w:r>
      <w:bookmarkEnd w:id="4"/>
    </w:p>
    <w:p w:rsidR="00A055F7" w:rsidRDefault="00E40931" w:rsidP="00A055F7">
      <w:bookmarkStart w:id="5" w:name="_Toc268941295"/>
      <w:r>
        <w:t>In the following subsections, d</w:t>
      </w:r>
      <w:r w:rsidR="00A055F7">
        <w:t>escribe each role (summary of what they do), specific responsibilities, specific authority, to whom they are accountable, and responsibilities for specific program results or deliverables. This collection of information can be described as a “charter”. These descriptions should be consistent with the allocation of tasks in the following sections and the WBS.</w:t>
      </w:r>
      <w:r w:rsidR="00DA094F">
        <w:t xml:space="preserve">  WBS across the top, organization down the side, x’s (or p-primary, s-support) where the responsibilities lie.</w:t>
      </w:r>
    </w:p>
    <w:p w:rsidR="006B28E1" w:rsidRDefault="006B28E1" w:rsidP="001B4234">
      <w:pPr>
        <w:pStyle w:val="Heading3"/>
      </w:pPr>
      <w:r>
        <w:t>Program Leadership</w:t>
      </w:r>
      <w:bookmarkEnd w:id="5"/>
    </w:p>
    <w:p w:rsidR="006B28E1" w:rsidRDefault="0064740A" w:rsidP="006B28E1">
      <w:r>
        <w:t xml:space="preserve">Program Management, </w:t>
      </w:r>
      <w:r w:rsidRPr="00573C3E">
        <w:t>acquirer engagement, cost and schedule, etc.</w:t>
      </w:r>
    </w:p>
    <w:p w:rsidR="006B28E1" w:rsidRDefault="006B28E1" w:rsidP="001B4234">
      <w:pPr>
        <w:pStyle w:val="Heading3"/>
      </w:pPr>
      <w:bookmarkStart w:id="6" w:name="_Toc268941296"/>
      <w:r>
        <w:t>Technical Leadership</w:t>
      </w:r>
      <w:bookmarkEnd w:id="6"/>
      <w:r>
        <w:t xml:space="preserve"> </w:t>
      </w:r>
    </w:p>
    <w:p w:rsidR="006B28E1" w:rsidRDefault="006B28E1" w:rsidP="006B28E1">
      <w:r>
        <w:t>Chief Engineer or Chief Architect, Chief Systems Engineer, other function or product team leaders</w:t>
      </w:r>
    </w:p>
    <w:p w:rsidR="006B28E1" w:rsidRDefault="006B28E1" w:rsidP="001B4234">
      <w:pPr>
        <w:pStyle w:val="Heading3"/>
      </w:pPr>
      <w:bookmarkStart w:id="7" w:name="_Toc268941297"/>
      <w:r>
        <w:t>Teams and Functions</w:t>
      </w:r>
      <w:bookmarkEnd w:id="7"/>
    </w:p>
    <w:p w:rsidR="006B28E1" w:rsidRDefault="006B28E1" w:rsidP="006B28E1">
      <w:r>
        <w:t>Integrated product and process development (IPPD) and/or function-based organization.</w:t>
      </w:r>
    </w:p>
    <w:p w:rsidR="006B28E1" w:rsidRDefault="006B28E1" w:rsidP="001B4234">
      <w:pPr>
        <w:pStyle w:val="Heading3"/>
      </w:pPr>
      <w:bookmarkStart w:id="8" w:name="_Toc268941298"/>
      <w:r>
        <w:t>Key Suppliers and Supplier Integration</w:t>
      </w:r>
      <w:bookmarkEnd w:id="8"/>
    </w:p>
    <w:p w:rsidR="006B28E1" w:rsidRDefault="006B28E1" w:rsidP="006B28E1">
      <w:r>
        <w:t>“Acquisition” per the Handbook. Identify suppliers who are critical for program success and how they are integrated into the program SE execution.</w:t>
      </w:r>
    </w:p>
    <w:p w:rsidR="006B28E1" w:rsidRDefault="006B28E1" w:rsidP="001B4234">
      <w:pPr>
        <w:pStyle w:val="Heading3"/>
      </w:pPr>
      <w:bookmarkStart w:id="9" w:name="_Toc268941299"/>
      <w:r>
        <w:t>Associate organizations</w:t>
      </w:r>
      <w:bookmarkEnd w:id="9"/>
    </w:p>
    <w:p w:rsidR="00F2289F" w:rsidRDefault="00F2289F" w:rsidP="00F2289F">
      <w:bookmarkStart w:id="10" w:name="_Toc268941300"/>
      <w:r>
        <w:t xml:space="preserve">If applicable, identify partners or other suppliers who deliver to a common </w:t>
      </w:r>
      <w:r w:rsidR="00DA0AB1">
        <w:t>acquirer</w:t>
      </w:r>
      <w:r>
        <w:t xml:space="preserve"> on a specific project.</w:t>
      </w:r>
    </w:p>
    <w:p w:rsidR="006B28E1" w:rsidRDefault="00DA0AB1" w:rsidP="001B4234">
      <w:pPr>
        <w:pStyle w:val="Heading3"/>
      </w:pPr>
      <w:r>
        <w:t>Acquirer</w:t>
      </w:r>
      <w:bookmarkEnd w:id="10"/>
    </w:p>
    <w:p w:rsidR="006B28E1" w:rsidRDefault="006B28E1" w:rsidP="006B28E1">
      <w:r>
        <w:t xml:space="preserve">“Supply” per the Handbook. Describe any execution-level involvement of </w:t>
      </w:r>
      <w:r w:rsidR="00DA0AB1">
        <w:t>acquirer</w:t>
      </w:r>
      <w:r>
        <w:t xml:space="preserve"> organizations, such as working groups, integrated product or process teams.</w:t>
      </w:r>
    </w:p>
    <w:p w:rsidR="006B28E1" w:rsidRDefault="006B28E1" w:rsidP="001B4234">
      <w:pPr>
        <w:pStyle w:val="Heading3"/>
      </w:pPr>
      <w:bookmarkStart w:id="11" w:name="_Toc268941301"/>
      <w:r>
        <w:lastRenderedPageBreak/>
        <w:t>User</w:t>
      </w:r>
      <w:bookmarkEnd w:id="11"/>
    </w:p>
    <w:p w:rsidR="006B28E1" w:rsidRDefault="006B28E1" w:rsidP="006B28E1">
      <w:r>
        <w:t xml:space="preserve">If different from </w:t>
      </w:r>
      <w:r w:rsidR="00DA0AB1">
        <w:t>acquirer</w:t>
      </w:r>
      <w:r>
        <w:t xml:space="preserve"> identify their specific involvement in working groups, integrated product or process teams, evaluation (validation), etc.</w:t>
      </w:r>
    </w:p>
    <w:p w:rsidR="006B28E1" w:rsidRDefault="006B28E1" w:rsidP="006B28E1">
      <w:pPr>
        <w:pStyle w:val="Heading2"/>
        <w:numPr>
          <w:ilvl w:val="1"/>
          <w:numId w:val="42"/>
        </w:numPr>
        <w:tabs>
          <w:tab w:val="clear" w:pos="792"/>
        </w:tabs>
        <w:ind w:left="0" w:firstLine="0"/>
        <w:jc w:val="left"/>
      </w:pPr>
      <w:bookmarkStart w:id="12" w:name="_Toc268941302"/>
      <w:r>
        <w:t>Organizational Integration</w:t>
      </w:r>
      <w:bookmarkEnd w:id="12"/>
    </w:p>
    <w:p w:rsidR="006B28E1" w:rsidRDefault="006B28E1" w:rsidP="001B4234">
      <w:pPr>
        <w:pStyle w:val="Heading3"/>
      </w:pPr>
      <w:bookmarkStart w:id="13" w:name="_Toc268941303"/>
      <w:r>
        <w:t>Working Groups and Boards</w:t>
      </w:r>
      <w:bookmarkEnd w:id="13"/>
    </w:p>
    <w:p w:rsidR="006B28E1" w:rsidRDefault="006B28E1" w:rsidP="006B28E1">
      <w:r>
        <w:t>Internal and external. These are used to integrate across organizational boundaries.</w:t>
      </w:r>
      <w:r w:rsidR="00DA094F">
        <w:t xml:space="preserve">  Possible examples include:  Interface Control Working Group, Test Working Group, Configuration Control Board; not all are required – think about what you need to manage and how it can be done.</w:t>
      </w:r>
    </w:p>
    <w:p w:rsidR="006B28E1" w:rsidRDefault="006B28E1" w:rsidP="001B4234">
      <w:pPr>
        <w:pStyle w:val="Heading3"/>
      </w:pPr>
      <w:bookmarkStart w:id="14" w:name="_Toc268941304"/>
      <w:r>
        <w:t>Technical Specialty Integration</w:t>
      </w:r>
      <w:bookmarkEnd w:id="14"/>
    </w:p>
    <w:p w:rsidR="006B28E1" w:rsidRDefault="006B28E1" w:rsidP="009833DD">
      <w:pPr>
        <w:pStyle w:val="Heading4"/>
      </w:pPr>
      <w:r>
        <w:t xml:space="preserve"> </w:t>
      </w:r>
      <w:bookmarkStart w:id="15" w:name="_Toc268941305"/>
      <w:r>
        <w:t>Identification of Specialties</w:t>
      </w:r>
      <w:bookmarkEnd w:id="15"/>
    </w:p>
    <w:p w:rsidR="006B28E1" w:rsidRDefault="006B28E1" w:rsidP="006B28E1">
      <w:r>
        <w:t>Identify and justify specific specialties that are needed, e.g., Safety, Reliability, Maintainability &amp; Testability, Electromagnetics, Human-Systems Integration, System Security, etc.</w:t>
      </w:r>
      <w:r w:rsidR="00363738">
        <w:t xml:space="preserve"> Note: typical engineering functions, e.g., electrical, mechanical, software, are not considered “specialty” for the reasons outlined in class.</w:t>
      </w:r>
    </w:p>
    <w:p w:rsidR="006B28E1" w:rsidRDefault="006B28E1" w:rsidP="001B4234">
      <w:pPr>
        <w:pStyle w:val="Heading4"/>
      </w:pPr>
      <w:bookmarkStart w:id="16" w:name="_Toc268941306"/>
      <w:r>
        <w:t>Tasks</w:t>
      </w:r>
      <w:bookmarkEnd w:id="16"/>
      <w:r w:rsidR="00EA5DEF">
        <w:t xml:space="preserve"> of Technical Specialists</w:t>
      </w:r>
    </w:p>
    <w:p w:rsidR="006B28E1" w:rsidRDefault="006B28E1" w:rsidP="006B28E1">
      <w:r>
        <w:t>Describe common approaches across all specialties. Identify any unique efforts for each applicable specialty area. Consider program planning, application of specialty areas standards, requirements development, design guidance and design analysis, developmental testing, verification (both test and analysis), and any required operations, maintenance, or disposal support. This section is about the strategic approach to deploying specialties, not a process description section. The intent is not to duplicate information in sections 3.3 or 4, but to identify the roles of specialists being identified. This is especially important in a product-based organization structure.</w:t>
      </w:r>
    </w:p>
    <w:p w:rsidR="006B28E1" w:rsidRDefault="006B28E1" w:rsidP="009833DD">
      <w:pPr>
        <w:pStyle w:val="Heading4"/>
      </w:pPr>
      <w:bookmarkStart w:id="17" w:name="_Toc268941307"/>
      <w:r>
        <w:t>Integrating Specialties</w:t>
      </w:r>
      <w:bookmarkEnd w:id="17"/>
    </w:p>
    <w:p w:rsidR="009F4F82" w:rsidRDefault="006B28E1" w:rsidP="006B28E1">
      <w:pPr>
        <w:tabs>
          <w:tab w:val="left" w:pos="4320"/>
          <w:tab w:val="left" w:pos="5760"/>
        </w:tabs>
      </w:pPr>
      <w:r>
        <w:t>Describe how the specialists are organized and deployed, their specific roles, responsibilities, authority, accountability, and how they are integrated across the organization (vertically – a single specialty throughout the whole organization, and horizontally – all the specialties at a given level).</w:t>
      </w:r>
    </w:p>
    <w:sectPr w:rsidR="009F4F82" w:rsidSect="005D0BAB">
      <w:headerReference w:type="default" r:id="rId7"/>
      <w:footerReference w:type="default" r:id="rId8"/>
      <w:pgSz w:w="12240" w:h="15840"/>
      <w:pgMar w:top="1440" w:right="1440" w:bottom="1440" w:left="1440" w:header="720" w:footer="864"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EA3" w:rsidRDefault="005F0EA3">
      <w:r>
        <w:separator/>
      </w:r>
    </w:p>
  </w:endnote>
  <w:endnote w:type="continuationSeparator" w:id="0">
    <w:p w:rsidR="005F0EA3" w:rsidRDefault="005F0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89F" w:rsidRDefault="00F2289F">
    <w:pPr>
      <w:pStyle w:val="Footer"/>
      <w:jc w:val="both"/>
    </w:pPr>
    <w:r>
      <w:rPr>
        <w:rStyle w:val="PageNumber"/>
      </w:rPr>
      <w:t>Your Name Here</w:t>
    </w:r>
    <w:r>
      <w:rPr>
        <w:rStyle w:val="PageNumber"/>
      </w:rPr>
      <w:tab/>
    </w:r>
    <w:r w:rsidR="00472F03">
      <w:rPr>
        <w:rStyle w:val="PageNumber"/>
      </w:rPr>
      <w:fldChar w:fldCharType="begin"/>
    </w:r>
    <w:r>
      <w:rPr>
        <w:rStyle w:val="PageNumber"/>
      </w:rPr>
      <w:instrText xml:space="preserve"> PAGE </w:instrText>
    </w:r>
    <w:r w:rsidR="00472F03">
      <w:rPr>
        <w:rStyle w:val="PageNumber"/>
      </w:rPr>
      <w:fldChar w:fldCharType="separate"/>
    </w:r>
    <w:r w:rsidR="006D5015">
      <w:rPr>
        <w:rStyle w:val="PageNumber"/>
        <w:noProof/>
      </w:rPr>
      <w:t>2</w:t>
    </w:r>
    <w:r w:rsidR="00472F03">
      <w:rPr>
        <w:rStyle w:val="PageNumber"/>
      </w:rPr>
      <w:fldChar w:fldCharType="end"/>
    </w:r>
    <w:r>
      <w:rPr>
        <w:rStyle w:val="PageNumber"/>
      </w:rPr>
      <w:tab/>
    </w:r>
    <w:r w:rsidR="009833DD">
      <w:rPr>
        <w:rStyle w:val="PageNumber"/>
      </w:rPr>
      <w:t>(today’s</w:t>
    </w:r>
    <w:r w:rsidR="00DA094F">
      <w:rPr>
        <w:rStyle w:val="PageNumber"/>
      </w:rPr>
      <w:t xml:space="preserve"> date)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EA3" w:rsidRDefault="005F0EA3">
      <w:r>
        <w:separator/>
      </w:r>
    </w:p>
  </w:footnote>
  <w:footnote w:type="continuationSeparator" w:id="0">
    <w:p w:rsidR="005F0EA3" w:rsidRDefault="005F0E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89F" w:rsidRDefault="00F2289F">
    <w:pPr>
      <w:pStyle w:val="Header"/>
      <w:jc w:val="center"/>
      <w:rPr>
        <w:b/>
      </w:rPr>
    </w:pPr>
    <w:r>
      <w:rPr>
        <w:b/>
      </w:rPr>
      <w:t xml:space="preserve">SysEng </w:t>
    </w:r>
    <w:r w:rsidR="00F72320">
      <w:rPr>
        <w:b/>
      </w:rPr>
      <w:t>6196</w:t>
    </w:r>
  </w:p>
  <w:p w:rsidR="00F2289F" w:rsidRDefault="00F2289F">
    <w:pPr>
      <w:pStyle w:val="Header"/>
      <w:jc w:val="center"/>
    </w:pPr>
    <w:r>
      <w:rPr>
        <w:b/>
      </w:rPr>
      <w:t xml:space="preserve">Homework 3 – SEMP </w:t>
    </w:r>
    <w:r w:rsidR="002165EB">
      <w:rPr>
        <w:b/>
      </w:rPr>
      <w:t>–</w:t>
    </w:r>
    <w:r>
      <w:rPr>
        <w:b/>
      </w:rPr>
      <w:t xml:space="preserve"> Organization</w:t>
    </w:r>
    <w:r w:rsidR="009A2F0A">
      <w:rPr>
        <w:b/>
      </w:rPr>
      <w:t xml:space="preserve"> –  roughly</w:t>
    </w:r>
    <w:r w:rsidR="009833DD">
      <w:rPr>
        <w:b/>
      </w:rPr>
      <w:t xml:space="preserve"> 6</w:t>
    </w:r>
    <w:r w:rsidR="009A2F0A">
      <w:rPr>
        <w:b/>
      </w:rPr>
      <w:t>-1</w:t>
    </w:r>
    <w:r w:rsidR="009833DD">
      <w:rPr>
        <w:b/>
      </w:rPr>
      <w:t>0</w:t>
    </w:r>
    <w:r w:rsidR="009A2F0A">
      <w:rPr>
        <w:b/>
      </w:rPr>
      <w:t xml:space="preserve"> </w:t>
    </w:r>
    <w:r w:rsidR="002165EB">
      <w:rPr>
        <w:b/>
      </w:rPr>
      <w:t>pages</w:t>
    </w:r>
    <w:r w:rsidR="009A2F0A">
      <w:rPr>
        <w:b/>
      </w:rPr>
      <w:t xml:space="preserve"> including several </w:t>
    </w:r>
    <w:r w:rsidR="003F477C">
      <w:rPr>
        <w:b/>
      </w:rPr>
      <w:t xml:space="preserve">large </w:t>
    </w:r>
    <w:r w:rsidR="009A2F0A">
      <w:rPr>
        <w:b/>
      </w:rPr>
      <w:t>figures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clip_image001"/>
      </v:shape>
    </w:pict>
  </w:numPicBullet>
  <w:abstractNum w:abstractNumId="0" w15:restartNumberingAfterBreak="0">
    <w:nsid w:val="047777F5"/>
    <w:multiLevelType w:val="multilevel"/>
    <w:tmpl w:val="DA36D1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4F55A64"/>
    <w:multiLevelType w:val="multilevel"/>
    <w:tmpl w:val="6846B19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Heading4"/>
      <w:lvlText w:val="%1.%2.%3.%4."/>
      <w:lvlJc w:val="left"/>
      <w:pPr>
        <w:tabs>
          <w:tab w:val="num" w:pos="1800"/>
        </w:tabs>
        <w:ind w:left="1728" w:hanging="648"/>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5052E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DB5C50"/>
    <w:multiLevelType w:val="hybridMultilevel"/>
    <w:tmpl w:val="63DEA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2A538D"/>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11E59D4"/>
    <w:multiLevelType w:val="hybridMultilevel"/>
    <w:tmpl w:val="9AFE7C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4E17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5E35D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76D5460"/>
    <w:multiLevelType w:val="hybridMultilevel"/>
    <w:tmpl w:val="7E0034FC"/>
    <w:lvl w:ilvl="0" w:tplc="77D6BA80">
      <w:start w:val="1"/>
      <w:numFmt w:val="bullet"/>
      <w:lvlText w:val=""/>
      <w:lvlJc w:val="left"/>
      <w:pPr>
        <w:tabs>
          <w:tab w:val="num" w:pos="360"/>
        </w:tabs>
        <w:ind w:left="360" w:hanging="360"/>
      </w:pPr>
      <w:rPr>
        <w:rFonts w:ascii="Symbol" w:hAnsi="Symbol" w:hint="default"/>
      </w:rPr>
    </w:lvl>
    <w:lvl w:ilvl="1" w:tplc="484AB12C" w:tentative="1">
      <w:start w:val="1"/>
      <w:numFmt w:val="bullet"/>
      <w:lvlText w:val="o"/>
      <w:lvlJc w:val="left"/>
      <w:pPr>
        <w:tabs>
          <w:tab w:val="num" w:pos="1080"/>
        </w:tabs>
        <w:ind w:left="1080" w:hanging="360"/>
      </w:pPr>
      <w:rPr>
        <w:rFonts w:ascii="Courier New" w:hAnsi="Courier New" w:hint="default"/>
      </w:rPr>
    </w:lvl>
    <w:lvl w:ilvl="2" w:tplc="5E5A14C4" w:tentative="1">
      <w:start w:val="1"/>
      <w:numFmt w:val="bullet"/>
      <w:lvlText w:val=""/>
      <w:lvlJc w:val="left"/>
      <w:pPr>
        <w:tabs>
          <w:tab w:val="num" w:pos="1800"/>
        </w:tabs>
        <w:ind w:left="1800" w:hanging="360"/>
      </w:pPr>
      <w:rPr>
        <w:rFonts w:ascii="Wingdings" w:hAnsi="Wingdings" w:hint="default"/>
      </w:rPr>
    </w:lvl>
    <w:lvl w:ilvl="3" w:tplc="18249CC4" w:tentative="1">
      <w:start w:val="1"/>
      <w:numFmt w:val="bullet"/>
      <w:lvlText w:val=""/>
      <w:lvlJc w:val="left"/>
      <w:pPr>
        <w:tabs>
          <w:tab w:val="num" w:pos="2520"/>
        </w:tabs>
        <w:ind w:left="2520" w:hanging="360"/>
      </w:pPr>
      <w:rPr>
        <w:rFonts w:ascii="Symbol" w:hAnsi="Symbol" w:hint="default"/>
      </w:rPr>
    </w:lvl>
    <w:lvl w:ilvl="4" w:tplc="8682B804" w:tentative="1">
      <w:start w:val="1"/>
      <w:numFmt w:val="bullet"/>
      <w:lvlText w:val="o"/>
      <w:lvlJc w:val="left"/>
      <w:pPr>
        <w:tabs>
          <w:tab w:val="num" w:pos="3240"/>
        </w:tabs>
        <w:ind w:left="3240" w:hanging="360"/>
      </w:pPr>
      <w:rPr>
        <w:rFonts w:ascii="Courier New" w:hAnsi="Courier New" w:hint="default"/>
      </w:rPr>
    </w:lvl>
    <w:lvl w:ilvl="5" w:tplc="24505EC0" w:tentative="1">
      <w:start w:val="1"/>
      <w:numFmt w:val="bullet"/>
      <w:lvlText w:val=""/>
      <w:lvlJc w:val="left"/>
      <w:pPr>
        <w:tabs>
          <w:tab w:val="num" w:pos="3960"/>
        </w:tabs>
        <w:ind w:left="3960" w:hanging="360"/>
      </w:pPr>
      <w:rPr>
        <w:rFonts w:ascii="Wingdings" w:hAnsi="Wingdings" w:hint="default"/>
      </w:rPr>
    </w:lvl>
    <w:lvl w:ilvl="6" w:tplc="84A8BF7C" w:tentative="1">
      <w:start w:val="1"/>
      <w:numFmt w:val="bullet"/>
      <w:lvlText w:val=""/>
      <w:lvlJc w:val="left"/>
      <w:pPr>
        <w:tabs>
          <w:tab w:val="num" w:pos="4680"/>
        </w:tabs>
        <w:ind w:left="4680" w:hanging="360"/>
      </w:pPr>
      <w:rPr>
        <w:rFonts w:ascii="Symbol" w:hAnsi="Symbol" w:hint="default"/>
      </w:rPr>
    </w:lvl>
    <w:lvl w:ilvl="7" w:tplc="7924F464" w:tentative="1">
      <w:start w:val="1"/>
      <w:numFmt w:val="bullet"/>
      <w:lvlText w:val="o"/>
      <w:lvlJc w:val="left"/>
      <w:pPr>
        <w:tabs>
          <w:tab w:val="num" w:pos="5400"/>
        </w:tabs>
        <w:ind w:left="5400" w:hanging="360"/>
      </w:pPr>
      <w:rPr>
        <w:rFonts w:ascii="Courier New" w:hAnsi="Courier New" w:hint="default"/>
      </w:rPr>
    </w:lvl>
    <w:lvl w:ilvl="8" w:tplc="555AC6DE"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A12627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4540C5"/>
    <w:multiLevelType w:val="multilevel"/>
    <w:tmpl w:val="EBB64C96"/>
    <w:lvl w:ilvl="0">
      <w:start w:val="1"/>
      <w:numFmt w:val="decimal"/>
      <w:lvlText w:val="%1."/>
      <w:legacy w:legacy="1" w:legacySpace="0" w:legacyIndent="0"/>
      <w:lvlJc w:val="left"/>
      <w:pPr>
        <w:ind w:left="0" w:firstLine="0"/>
      </w:pPr>
    </w:lvl>
    <w:lvl w:ilvl="1">
      <w:start w:val="1"/>
      <w:numFmt w:val="lowerLetter"/>
      <w:lvlText w:val="%2."/>
      <w:legacy w:legacy="1" w:legacySpace="0" w:legacyIndent="0"/>
      <w:lvlJc w:val="left"/>
      <w:pPr>
        <w:ind w:left="0" w:firstLine="0"/>
      </w:pPr>
    </w:lvl>
    <w:lvl w:ilvl="2">
      <w:start w:val="1"/>
      <w:numFmt w:val="lowerRoman"/>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lowerLetter"/>
      <w:lvlText w:val="(%5)"/>
      <w:legacy w:legacy="1" w:legacySpace="0" w:legacyIndent="0"/>
      <w:lvlJc w:val="left"/>
      <w:pPr>
        <w:ind w:left="0" w:firstLine="0"/>
      </w:pPr>
    </w:lvl>
    <w:lvl w:ilvl="5">
      <w:start w:val="1"/>
      <w:numFmt w:val="lowerRoman"/>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lowerLetter"/>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11" w15:restartNumberingAfterBreak="0">
    <w:nsid w:val="1DF444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C87D7B"/>
    <w:multiLevelType w:val="hybridMultilevel"/>
    <w:tmpl w:val="3A90164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FE6E32"/>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A566E4D"/>
    <w:multiLevelType w:val="hybridMultilevel"/>
    <w:tmpl w:val="97F2AC4A"/>
    <w:lvl w:ilvl="0" w:tplc="AC18A4E2">
      <w:start w:val="1"/>
      <w:numFmt w:val="bullet"/>
      <w:lvlText w:val=""/>
      <w:lvlJc w:val="left"/>
      <w:pPr>
        <w:tabs>
          <w:tab w:val="num" w:pos="360"/>
        </w:tabs>
        <w:ind w:left="360" w:hanging="360"/>
      </w:pPr>
      <w:rPr>
        <w:rFonts w:ascii="Symbol" w:hAnsi="Symbol" w:hint="default"/>
      </w:rPr>
    </w:lvl>
    <w:lvl w:ilvl="1" w:tplc="20EC76D2" w:tentative="1">
      <w:start w:val="1"/>
      <w:numFmt w:val="bullet"/>
      <w:lvlText w:val="o"/>
      <w:lvlJc w:val="left"/>
      <w:pPr>
        <w:tabs>
          <w:tab w:val="num" w:pos="1080"/>
        </w:tabs>
        <w:ind w:left="1080" w:hanging="360"/>
      </w:pPr>
      <w:rPr>
        <w:rFonts w:ascii="Courier New" w:hAnsi="Courier New" w:hint="default"/>
      </w:rPr>
    </w:lvl>
    <w:lvl w:ilvl="2" w:tplc="D188EDE0" w:tentative="1">
      <w:start w:val="1"/>
      <w:numFmt w:val="bullet"/>
      <w:lvlText w:val=""/>
      <w:lvlJc w:val="left"/>
      <w:pPr>
        <w:tabs>
          <w:tab w:val="num" w:pos="1800"/>
        </w:tabs>
        <w:ind w:left="1800" w:hanging="360"/>
      </w:pPr>
      <w:rPr>
        <w:rFonts w:ascii="Wingdings" w:hAnsi="Wingdings" w:hint="default"/>
      </w:rPr>
    </w:lvl>
    <w:lvl w:ilvl="3" w:tplc="6B40E548" w:tentative="1">
      <w:start w:val="1"/>
      <w:numFmt w:val="bullet"/>
      <w:lvlText w:val=""/>
      <w:lvlJc w:val="left"/>
      <w:pPr>
        <w:tabs>
          <w:tab w:val="num" w:pos="2520"/>
        </w:tabs>
        <w:ind w:left="2520" w:hanging="360"/>
      </w:pPr>
      <w:rPr>
        <w:rFonts w:ascii="Symbol" w:hAnsi="Symbol" w:hint="default"/>
      </w:rPr>
    </w:lvl>
    <w:lvl w:ilvl="4" w:tplc="BF5A8FA8" w:tentative="1">
      <w:start w:val="1"/>
      <w:numFmt w:val="bullet"/>
      <w:lvlText w:val="o"/>
      <w:lvlJc w:val="left"/>
      <w:pPr>
        <w:tabs>
          <w:tab w:val="num" w:pos="3240"/>
        </w:tabs>
        <w:ind w:left="3240" w:hanging="360"/>
      </w:pPr>
      <w:rPr>
        <w:rFonts w:ascii="Courier New" w:hAnsi="Courier New" w:hint="default"/>
      </w:rPr>
    </w:lvl>
    <w:lvl w:ilvl="5" w:tplc="83B8D3F6" w:tentative="1">
      <w:start w:val="1"/>
      <w:numFmt w:val="bullet"/>
      <w:lvlText w:val=""/>
      <w:lvlJc w:val="left"/>
      <w:pPr>
        <w:tabs>
          <w:tab w:val="num" w:pos="3960"/>
        </w:tabs>
        <w:ind w:left="3960" w:hanging="360"/>
      </w:pPr>
      <w:rPr>
        <w:rFonts w:ascii="Wingdings" w:hAnsi="Wingdings" w:hint="default"/>
      </w:rPr>
    </w:lvl>
    <w:lvl w:ilvl="6" w:tplc="29588B5E" w:tentative="1">
      <w:start w:val="1"/>
      <w:numFmt w:val="bullet"/>
      <w:lvlText w:val=""/>
      <w:lvlJc w:val="left"/>
      <w:pPr>
        <w:tabs>
          <w:tab w:val="num" w:pos="4680"/>
        </w:tabs>
        <w:ind w:left="4680" w:hanging="360"/>
      </w:pPr>
      <w:rPr>
        <w:rFonts w:ascii="Symbol" w:hAnsi="Symbol" w:hint="default"/>
      </w:rPr>
    </w:lvl>
    <w:lvl w:ilvl="7" w:tplc="2886251C" w:tentative="1">
      <w:start w:val="1"/>
      <w:numFmt w:val="bullet"/>
      <w:lvlText w:val="o"/>
      <w:lvlJc w:val="left"/>
      <w:pPr>
        <w:tabs>
          <w:tab w:val="num" w:pos="5400"/>
        </w:tabs>
        <w:ind w:left="5400" w:hanging="360"/>
      </w:pPr>
      <w:rPr>
        <w:rFonts w:ascii="Courier New" w:hAnsi="Courier New" w:hint="default"/>
      </w:rPr>
    </w:lvl>
    <w:lvl w:ilvl="8" w:tplc="EABEF88E"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D6C56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F8075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FC566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4765A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C4278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C7931FC"/>
    <w:multiLevelType w:val="multilevel"/>
    <w:tmpl w:val="7E32CA6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3D7A38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EA164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F0F6999"/>
    <w:multiLevelType w:val="hybridMultilevel"/>
    <w:tmpl w:val="56405F7C"/>
    <w:lvl w:ilvl="0" w:tplc="711CACFA">
      <w:start w:val="1"/>
      <w:numFmt w:val="decimal"/>
      <w:lvlText w:val="%1."/>
      <w:lvlJc w:val="left"/>
      <w:pPr>
        <w:tabs>
          <w:tab w:val="num" w:pos="360"/>
        </w:tabs>
        <w:ind w:left="360" w:hanging="360"/>
      </w:pPr>
      <w:rPr>
        <w:rFonts w:hint="default"/>
      </w:rPr>
    </w:lvl>
    <w:lvl w:ilvl="1" w:tplc="7E46EA62">
      <w:numFmt w:val="none"/>
      <w:lvlText w:val=""/>
      <w:lvlJc w:val="left"/>
      <w:pPr>
        <w:tabs>
          <w:tab w:val="num" w:pos="360"/>
        </w:tabs>
      </w:pPr>
    </w:lvl>
    <w:lvl w:ilvl="2" w:tplc="73BA4322">
      <w:numFmt w:val="none"/>
      <w:lvlText w:val=""/>
      <w:lvlJc w:val="left"/>
      <w:pPr>
        <w:tabs>
          <w:tab w:val="num" w:pos="360"/>
        </w:tabs>
      </w:pPr>
    </w:lvl>
    <w:lvl w:ilvl="3" w:tplc="BC0475D2">
      <w:numFmt w:val="none"/>
      <w:lvlText w:val=""/>
      <w:lvlJc w:val="left"/>
      <w:pPr>
        <w:tabs>
          <w:tab w:val="num" w:pos="360"/>
        </w:tabs>
      </w:pPr>
    </w:lvl>
    <w:lvl w:ilvl="4" w:tplc="7E9EF0E4">
      <w:numFmt w:val="none"/>
      <w:lvlText w:val=""/>
      <w:lvlJc w:val="left"/>
      <w:pPr>
        <w:tabs>
          <w:tab w:val="num" w:pos="360"/>
        </w:tabs>
      </w:pPr>
    </w:lvl>
    <w:lvl w:ilvl="5" w:tplc="08DC5112">
      <w:numFmt w:val="none"/>
      <w:lvlText w:val=""/>
      <w:lvlJc w:val="left"/>
      <w:pPr>
        <w:tabs>
          <w:tab w:val="num" w:pos="360"/>
        </w:tabs>
      </w:pPr>
    </w:lvl>
    <w:lvl w:ilvl="6" w:tplc="AE520616">
      <w:numFmt w:val="none"/>
      <w:lvlText w:val=""/>
      <w:lvlJc w:val="left"/>
      <w:pPr>
        <w:tabs>
          <w:tab w:val="num" w:pos="360"/>
        </w:tabs>
      </w:pPr>
    </w:lvl>
    <w:lvl w:ilvl="7" w:tplc="BC70AA28">
      <w:numFmt w:val="none"/>
      <w:lvlText w:val=""/>
      <w:lvlJc w:val="left"/>
      <w:pPr>
        <w:tabs>
          <w:tab w:val="num" w:pos="360"/>
        </w:tabs>
      </w:pPr>
    </w:lvl>
    <w:lvl w:ilvl="8" w:tplc="580C5D26">
      <w:numFmt w:val="none"/>
      <w:lvlText w:val=""/>
      <w:lvlJc w:val="left"/>
      <w:pPr>
        <w:tabs>
          <w:tab w:val="num" w:pos="360"/>
        </w:tabs>
      </w:pPr>
    </w:lvl>
  </w:abstractNum>
  <w:abstractNum w:abstractNumId="24" w15:restartNumberingAfterBreak="0">
    <w:nsid w:val="3FE31BE3"/>
    <w:multiLevelType w:val="hybridMultilevel"/>
    <w:tmpl w:val="F2625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0071B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01518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30D0C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3862A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5FE6AF9"/>
    <w:multiLevelType w:val="hybridMultilevel"/>
    <w:tmpl w:val="3FCE289C"/>
    <w:lvl w:ilvl="0" w:tplc="B19EA7C4">
      <w:start w:val="1"/>
      <w:numFmt w:val="bullet"/>
      <w:lvlText w:val=""/>
      <w:lvlJc w:val="left"/>
      <w:pPr>
        <w:tabs>
          <w:tab w:val="num" w:pos="720"/>
        </w:tabs>
        <w:ind w:left="720" w:hanging="360"/>
      </w:pPr>
      <w:rPr>
        <w:rFonts w:ascii="Symbol" w:hAnsi="Symbol" w:hint="default"/>
      </w:rPr>
    </w:lvl>
    <w:lvl w:ilvl="1" w:tplc="79C295DE" w:tentative="1">
      <w:start w:val="1"/>
      <w:numFmt w:val="bullet"/>
      <w:lvlText w:val="o"/>
      <w:lvlJc w:val="left"/>
      <w:pPr>
        <w:tabs>
          <w:tab w:val="num" w:pos="1440"/>
        </w:tabs>
        <w:ind w:left="1440" w:hanging="360"/>
      </w:pPr>
      <w:rPr>
        <w:rFonts w:ascii="Courier New" w:hAnsi="Courier New" w:hint="default"/>
      </w:rPr>
    </w:lvl>
    <w:lvl w:ilvl="2" w:tplc="CE2887BC" w:tentative="1">
      <w:start w:val="1"/>
      <w:numFmt w:val="bullet"/>
      <w:lvlText w:val=""/>
      <w:lvlJc w:val="left"/>
      <w:pPr>
        <w:tabs>
          <w:tab w:val="num" w:pos="2160"/>
        </w:tabs>
        <w:ind w:left="2160" w:hanging="360"/>
      </w:pPr>
      <w:rPr>
        <w:rFonts w:ascii="Wingdings" w:hAnsi="Wingdings" w:hint="default"/>
      </w:rPr>
    </w:lvl>
    <w:lvl w:ilvl="3" w:tplc="DADA6C7C" w:tentative="1">
      <w:start w:val="1"/>
      <w:numFmt w:val="bullet"/>
      <w:lvlText w:val=""/>
      <w:lvlJc w:val="left"/>
      <w:pPr>
        <w:tabs>
          <w:tab w:val="num" w:pos="2880"/>
        </w:tabs>
        <w:ind w:left="2880" w:hanging="360"/>
      </w:pPr>
      <w:rPr>
        <w:rFonts w:ascii="Symbol" w:hAnsi="Symbol" w:hint="default"/>
      </w:rPr>
    </w:lvl>
    <w:lvl w:ilvl="4" w:tplc="4D1E0A34" w:tentative="1">
      <w:start w:val="1"/>
      <w:numFmt w:val="bullet"/>
      <w:lvlText w:val="o"/>
      <w:lvlJc w:val="left"/>
      <w:pPr>
        <w:tabs>
          <w:tab w:val="num" w:pos="3600"/>
        </w:tabs>
        <w:ind w:left="3600" w:hanging="360"/>
      </w:pPr>
      <w:rPr>
        <w:rFonts w:ascii="Courier New" w:hAnsi="Courier New" w:hint="default"/>
      </w:rPr>
    </w:lvl>
    <w:lvl w:ilvl="5" w:tplc="CB3C4A08" w:tentative="1">
      <w:start w:val="1"/>
      <w:numFmt w:val="bullet"/>
      <w:lvlText w:val=""/>
      <w:lvlJc w:val="left"/>
      <w:pPr>
        <w:tabs>
          <w:tab w:val="num" w:pos="4320"/>
        </w:tabs>
        <w:ind w:left="4320" w:hanging="360"/>
      </w:pPr>
      <w:rPr>
        <w:rFonts w:ascii="Wingdings" w:hAnsi="Wingdings" w:hint="default"/>
      </w:rPr>
    </w:lvl>
    <w:lvl w:ilvl="6" w:tplc="8872E002" w:tentative="1">
      <w:start w:val="1"/>
      <w:numFmt w:val="bullet"/>
      <w:lvlText w:val=""/>
      <w:lvlJc w:val="left"/>
      <w:pPr>
        <w:tabs>
          <w:tab w:val="num" w:pos="5040"/>
        </w:tabs>
        <w:ind w:left="5040" w:hanging="360"/>
      </w:pPr>
      <w:rPr>
        <w:rFonts w:ascii="Symbol" w:hAnsi="Symbol" w:hint="default"/>
      </w:rPr>
    </w:lvl>
    <w:lvl w:ilvl="7" w:tplc="26B430B6" w:tentative="1">
      <w:start w:val="1"/>
      <w:numFmt w:val="bullet"/>
      <w:lvlText w:val="o"/>
      <w:lvlJc w:val="left"/>
      <w:pPr>
        <w:tabs>
          <w:tab w:val="num" w:pos="5760"/>
        </w:tabs>
        <w:ind w:left="5760" w:hanging="360"/>
      </w:pPr>
      <w:rPr>
        <w:rFonts w:ascii="Courier New" w:hAnsi="Courier New" w:hint="default"/>
      </w:rPr>
    </w:lvl>
    <w:lvl w:ilvl="8" w:tplc="0072613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7C2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26B06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67B7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AFA6A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DA666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DCA686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DD617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02C41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16709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2DA22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8A556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B184A5A"/>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6C664267"/>
    <w:multiLevelType w:val="hybridMultilevel"/>
    <w:tmpl w:val="3B1E407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75A3312B"/>
    <w:multiLevelType w:val="multilevel"/>
    <w:tmpl w:val="DA36D1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767538BA"/>
    <w:multiLevelType w:val="multilevel"/>
    <w:tmpl w:val="3EC4705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4"/>
  </w:num>
  <w:num w:numId="2">
    <w:abstractNumId w:val="7"/>
  </w:num>
  <w:num w:numId="3">
    <w:abstractNumId w:val="22"/>
  </w:num>
  <w:num w:numId="4">
    <w:abstractNumId w:val="21"/>
  </w:num>
  <w:num w:numId="5">
    <w:abstractNumId w:val="19"/>
  </w:num>
  <w:num w:numId="6">
    <w:abstractNumId w:val="38"/>
  </w:num>
  <w:num w:numId="7">
    <w:abstractNumId w:val="27"/>
  </w:num>
  <w:num w:numId="8">
    <w:abstractNumId w:val="40"/>
  </w:num>
  <w:num w:numId="9">
    <w:abstractNumId w:val="10"/>
  </w:num>
  <w:num w:numId="10">
    <w:abstractNumId w:val="20"/>
  </w:num>
  <w:num w:numId="11">
    <w:abstractNumId w:val="43"/>
  </w:num>
  <w:num w:numId="12">
    <w:abstractNumId w:val="0"/>
  </w:num>
  <w:num w:numId="13">
    <w:abstractNumId w:val="23"/>
  </w:num>
  <w:num w:numId="14">
    <w:abstractNumId w:val="29"/>
  </w:num>
  <w:num w:numId="15">
    <w:abstractNumId w:val="14"/>
  </w:num>
  <w:num w:numId="16">
    <w:abstractNumId w:val="8"/>
  </w:num>
  <w:num w:numId="17">
    <w:abstractNumId w:val="6"/>
  </w:num>
  <w:num w:numId="18">
    <w:abstractNumId w:val="17"/>
  </w:num>
  <w:num w:numId="19">
    <w:abstractNumId w:val="33"/>
  </w:num>
  <w:num w:numId="20">
    <w:abstractNumId w:val="16"/>
  </w:num>
  <w:num w:numId="21">
    <w:abstractNumId w:val="25"/>
  </w:num>
  <w:num w:numId="22">
    <w:abstractNumId w:val="28"/>
  </w:num>
  <w:num w:numId="23">
    <w:abstractNumId w:val="31"/>
  </w:num>
  <w:num w:numId="24">
    <w:abstractNumId w:val="34"/>
  </w:num>
  <w:num w:numId="25">
    <w:abstractNumId w:val="15"/>
  </w:num>
  <w:num w:numId="26">
    <w:abstractNumId w:val="2"/>
  </w:num>
  <w:num w:numId="27">
    <w:abstractNumId w:val="36"/>
  </w:num>
  <w:num w:numId="28">
    <w:abstractNumId w:val="13"/>
  </w:num>
  <w:num w:numId="29">
    <w:abstractNumId w:val="11"/>
  </w:num>
  <w:num w:numId="30">
    <w:abstractNumId w:val="37"/>
  </w:num>
  <w:num w:numId="31">
    <w:abstractNumId w:val="9"/>
  </w:num>
  <w:num w:numId="32">
    <w:abstractNumId w:val="18"/>
  </w:num>
  <w:num w:numId="33">
    <w:abstractNumId w:val="26"/>
  </w:num>
  <w:num w:numId="34">
    <w:abstractNumId w:val="39"/>
  </w:num>
  <w:num w:numId="35">
    <w:abstractNumId w:val="32"/>
  </w:num>
  <w:num w:numId="36">
    <w:abstractNumId w:val="35"/>
  </w:num>
  <w:num w:numId="37">
    <w:abstractNumId w:val="24"/>
  </w:num>
  <w:num w:numId="38">
    <w:abstractNumId w:val="5"/>
  </w:num>
  <w:num w:numId="39">
    <w:abstractNumId w:val="42"/>
  </w:num>
  <w:num w:numId="40">
    <w:abstractNumId w:val="3"/>
  </w:num>
  <w:num w:numId="41">
    <w:abstractNumId w:val="12"/>
  </w:num>
  <w:num w:numId="42">
    <w:abstractNumId w:val="1"/>
  </w:num>
  <w:num w:numId="43">
    <w:abstractNumId w:val="30"/>
  </w:num>
  <w:num w:numId="44">
    <w:abstractNumId w:val="44"/>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E6"/>
    <w:rsid w:val="00000FB2"/>
    <w:rsid w:val="0009113E"/>
    <w:rsid w:val="000957D0"/>
    <w:rsid w:val="001042B7"/>
    <w:rsid w:val="00122DE6"/>
    <w:rsid w:val="00156FD2"/>
    <w:rsid w:val="001B4234"/>
    <w:rsid w:val="001F00E8"/>
    <w:rsid w:val="002165EB"/>
    <w:rsid w:val="00225BB1"/>
    <w:rsid w:val="00251623"/>
    <w:rsid w:val="002548E6"/>
    <w:rsid w:val="00263BDF"/>
    <w:rsid w:val="002656D7"/>
    <w:rsid w:val="002B151E"/>
    <w:rsid w:val="00301532"/>
    <w:rsid w:val="0032733F"/>
    <w:rsid w:val="0034019D"/>
    <w:rsid w:val="0035202D"/>
    <w:rsid w:val="00363738"/>
    <w:rsid w:val="00381D43"/>
    <w:rsid w:val="00394AB4"/>
    <w:rsid w:val="003B35AE"/>
    <w:rsid w:val="003D4D0F"/>
    <w:rsid w:val="003F477C"/>
    <w:rsid w:val="00472F03"/>
    <w:rsid w:val="004C24E1"/>
    <w:rsid w:val="004F45ED"/>
    <w:rsid w:val="00532B82"/>
    <w:rsid w:val="005531E4"/>
    <w:rsid w:val="005D0BAB"/>
    <w:rsid w:val="005E30FD"/>
    <w:rsid w:val="005F0EA3"/>
    <w:rsid w:val="00606222"/>
    <w:rsid w:val="0061620E"/>
    <w:rsid w:val="0064740A"/>
    <w:rsid w:val="006B28E1"/>
    <w:rsid w:val="006D3CFA"/>
    <w:rsid w:val="006D5015"/>
    <w:rsid w:val="006F2F97"/>
    <w:rsid w:val="007761D6"/>
    <w:rsid w:val="007A4393"/>
    <w:rsid w:val="007C1E1C"/>
    <w:rsid w:val="007D7832"/>
    <w:rsid w:val="007E7780"/>
    <w:rsid w:val="008023CC"/>
    <w:rsid w:val="008465C6"/>
    <w:rsid w:val="008D3074"/>
    <w:rsid w:val="008E4EFA"/>
    <w:rsid w:val="00900AAD"/>
    <w:rsid w:val="00905633"/>
    <w:rsid w:val="0093310A"/>
    <w:rsid w:val="00945A54"/>
    <w:rsid w:val="00950686"/>
    <w:rsid w:val="00957BF6"/>
    <w:rsid w:val="00971DE4"/>
    <w:rsid w:val="009833DD"/>
    <w:rsid w:val="009A2F0A"/>
    <w:rsid w:val="009A404D"/>
    <w:rsid w:val="009F4F82"/>
    <w:rsid w:val="00A055F7"/>
    <w:rsid w:val="00A20557"/>
    <w:rsid w:val="00A30EB1"/>
    <w:rsid w:val="00A54D99"/>
    <w:rsid w:val="00A74358"/>
    <w:rsid w:val="00AD6312"/>
    <w:rsid w:val="00AF16CB"/>
    <w:rsid w:val="00AF50B0"/>
    <w:rsid w:val="00B04CF8"/>
    <w:rsid w:val="00B27D24"/>
    <w:rsid w:val="00B61D7B"/>
    <w:rsid w:val="00B701DE"/>
    <w:rsid w:val="00B84C9C"/>
    <w:rsid w:val="00B850E3"/>
    <w:rsid w:val="00C165B8"/>
    <w:rsid w:val="00C3157C"/>
    <w:rsid w:val="00C6176A"/>
    <w:rsid w:val="00C708A9"/>
    <w:rsid w:val="00CA769F"/>
    <w:rsid w:val="00D72D77"/>
    <w:rsid w:val="00DA094F"/>
    <w:rsid w:val="00DA0AB1"/>
    <w:rsid w:val="00DB1693"/>
    <w:rsid w:val="00DD2381"/>
    <w:rsid w:val="00DF031B"/>
    <w:rsid w:val="00E40931"/>
    <w:rsid w:val="00E43857"/>
    <w:rsid w:val="00E572C7"/>
    <w:rsid w:val="00EA5DEF"/>
    <w:rsid w:val="00EB4C6B"/>
    <w:rsid w:val="00F2289F"/>
    <w:rsid w:val="00F2362D"/>
    <w:rsid w:val="00F534D7"/>
    <w:rsid w:val="00F636B0"/>
    <w:rsid w:val="00F72320"/>
    <w:rsid w:val="00F833D0"/>
    <w:rsid w:val="00FA3AE3"/>
    <w:rsid w:val="00FF5110"/>
    <w:rsid w:val="00FF5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A39E92-90D2-48BB-8813-DF57A1F2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F82"/>
    <w:pPr>
      <w:spacing w:after="120"/>
    </w:pPr>
    <w:rPr>
      <w:sz w:val="24"/>
    </w:rPr>
  </w:style>
  <w:style w:type="paragraph" w:styleId="Heading1">
    <w:name w:val="heading 1"/>
    <w:basedOn w:val="Normal"/>
    <w:next w:val="Normal"/>
    <w:qFormat/>
    <w:rsid w:val="005D0BAB"/>
    <w:pPr>
      <w:keepNext/>
      <w:spacing w:before="240" w:after="60"/>
      <w:outlineLvl w:val="0"/>
    </w:pPr>
    <w:rPr>
      <w:rFonts w:ascii="Arial" w:hAnsi="Arial"/>
      <w:b/>
      <w:kern w:val="28"/>
      <w:sz w:val="28"/>
    </w:rPr>
  </w:style>
  <w:style w:type="paragraph" w:styleId="Heading2">
    <w:name w:val="heading 2"/>
    <w:basedOn w:val="Normal"/>
    <w:next w:val="Normal"/>
    <w:qFormat/>
    <w:rsid w:val="005D0BAB"/>
    <w:pPr>
      <w:keepNext/>
      <w:jc w:val="center"/>
      <w:outlineLvl w:val="1"/>
    </w:pPr>
    <w:rPr>
      <w:b/>
    </w:rPr>
  </w:style>
  <w:style w:type="paragraph" w:styleId="Heading3">
    <w:name w:val="heading 3"/>
    <w:basedOn w:val="Normal"/>
    <w:next w:val="Normal"/>
    <w:qFormat/>
    <w:rsid w:val="001B4234"/>
    <w:pPr>
      <w:keepNext/>
      <w:numPr>
        <w:ilvl w:val="2"/>
        <w:numId w:val="42"/>
      </w:numPr>
      <w:tabs>
        <w:tab w:val="clear" w:pos="1440"/>
      </w:tabs>
      <w:spacing w:before="120" w:after="0"/>
      <w:ind w:left="0" w:firstLine="0"/>
      <w:outlineLvl w:val="2"/>
    </w:pPr>
    <w:rPr>
      <w:b/>
      <w:bCs/>
    </w:rPr>
  </w:style>
  <w:style w:type="paragraph" w:styleId="Heading4">
    <w:name w:val="heading 4"/>
    <w:basedOn w:val="StyleHeading3Left1"/>
    <w:next w:val="Normal"/>
    <w:qFormat/>
    <w:rsid w:val="001B4234"/>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0BAB"/>
    <w:pPr>
      <w:tabs>
        <w:tab w:val="center" w:pos="4320"/>
        <w:tab w:val="right" w:pos="8640"/>
      </w:tabs>
    </w:pPr>
  </w:style>
  <w:style w:type="paragraph" w:styleId="Footer">
    <w:name w:val="footer"/>
    <w:basedOn w:val="Normal"/>
    <w:rsid w:val="005D0BAB"/>
    <w:pPr>
      <w:tabs>
        <w:tab w:val="center" w:pos="4320"/>
        <w:tab w:val="right" w:pos="8640"/>
      </w:tabs>
    </w:pPr>
  </w:style>
  <w:style w:type="character" w:styleId="Hyperlink">
    <w:name w:val="Hyperlink"/>
    <w:rsid w:val="005D0BAB"/>
    <w:rPr>
      <w:color w:val="0000FF"/>
      <w:u w:val="single"/>
    </w:rPr>
  </w:style>
  <w:style w:type="character" w:styleId="PageNumber">
    <w:name w:val="page number"/>
    <w:basedOn w:val="DefaultParagraphFont"/>
    <w:rsid w:val="005D0BAB"/>
  </w:style>
  <w:style w:type="paragraph" w:customStyle="1" w:styleId="Level1">
    <w:name w:val="Level 1"/>
    <w:rsid w:val="005D0BAB"/>
    <w:pPr>
      <w:widowControl w:val="0"/>
      <w:autoSpaceDE w:val="0"/>
      <w:autoSpaceDN w:val="0"/>
      <w:adjustRightInd w:val="0"/>
      <w:ind w:left="720"/>
      <w:jc w:val="both"/>
    </w:pPr>
    <w:rPr>
      <w:rFonts w:ascii="Univers" w:hAnsi="Univers"/>
      <w:sz w:val="24"/>
    </w:rPr>
  </w:style>
  <w:style w:type="paragraph" w:customStyle="1" w:styleId="BodyTextIn">
    <w:name w:val="Body Text In"/>
    <w:rsid w:val="005D0B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720" w:hanging="720"/>
      <w:jc w:val="both"/>
    </w:pPr>
    <w:rPr>
      <w:rFonts w:ascii="Univers" w:hAnsi="Univers"/>
      <w:sz w:val="24"/>
    </w:rPr>
  </w:style>
  <w:style w:type="character" w:customStyle="1" w:styleId="SYSHYPERTEXT">
    <w:name w:val="SYS_HYPERTEXT"/>
    <w:rsid w:val="005D0BAB"/>
    <w:rPr>
      <w:color w:val="0000FF"/>
      <w:u w:val="single"/>
    </w:rPr>
  </w:style>
  <w:style w:type="character" w:styleId="FollowedHyperlink">
    <w:name w:val="FollowedHyperlink"/>
    <w:rsid w:val="005D0BAB"/>
    <w:rPr>
      <w:color w:val="800080"/>
      <w:u w:val="single"/>
    </w:rPr>
  </w:style>
  <w:style w:type="character" w:styleId="CommentReference">
    <w:name w:val="annotation reference"/>
    <w:semiHidden/>
    <w:rsid w:val="005D0BAB"/>
    <w:rPr>
      <w:sz w:val="16"/>
    </w:rPr>
  </w:style>
  <w:style w:type="paragraph" w:styleId="CommentText">
    <w:name w:val="annotation text"/>
    <w:basedOn w:val="Normal"/>
    <w:semiHidden/>
    <w:rsid w:val="005D0BAB"/>
    <w:rPr>
      <w:sz w:val="20"/>
    </w:rPr>
  </w:style>
  <w:style w:type="table" w:styleId="TableGrid">
    <w:name w:val="Table Grid"/>
    <w:basedOn w:val="TableNormal"/>
    <w:rsid w:val="009F4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Left1">
    <w:name w:val="Style Heading 3 + Left1"/>
    <w:basedOn w:val="Heading3"/>
    <w:rsid w:val="009F4F82"/>
  </w:style>
  <w:style w:type="paragraph" w:customStyle="1" w:styleId="StyleHeading2LeftAfter6pt">
    <w:name w:val="Style Heading 2 + Left After:  6 pt"/>
    <w:basedOn w:val="Heading2"/>
    <w:rsid w:val="009F4F82"/>
    <w:pPr>
      <w:spacing w:before="120"/>
      <w:jc w:val="left"/>
    </w:pPr>
    <w:rPr>
      <w:bCs/>
    </w:rPr>
  </w:style>
  <w:style w:type="paragraph" w:styleId="BalloonText">
    <w:name w:val="Balloon Text"/>
    <w:basedOn w:val="Normal"/>
    <w:link w:val="BalloonTextChar"/>
    <w:rsid w:val="006B28E1"/>
    <w:pPr>
      <w:spacing w:after="0"/>
    </w:pPr>
    <w:rPr>
      <w:rFonts w:ascii="Tahoma" w:hAnsi="Tahoma" w:cs="Tahoma"/>
      <w:sz w:val="16"/>
      <w:szCs w:val="16"/>
    </w:rPr>
  </w:style>
  <w:style w:type="character" w:customStyle="1" w:styleId="BalloonTextChar">
    <w:name w:val="Balloon Text Char"/>
    <w:link w:val="BalloonText"/>
    <w:rsid w:val="006B28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0578">
      <w:bodyDiv w:val="1"/>
      <w:marLeft w:val="0"/>
      <w:marRight w:val="0"/>
      <w:marTop w:val="0"/>
      <w:marBottom w:val="0"/>
      <w:divBdr>
        <w:top w:val="none" w:sz="0" w:space="0" w:color="auto"/>
        <w:left w:val="none" w:sz="0" w:space="0" w:color="auto"/>
        <w:bottom w:val="none" w:sz="0" w:space="0" w:color="auto"/>
        <w:right w:val="none" w:sz="0" w:space="0" w:color="auto"/>
      </w:divBdr>
      <w:divsChild>
        <w:div w:id="1277711726">
          <w:marLeft w:val="0"/>
          <w:marRight w:val="0"/>
          <w:marTop w:val="0"/>
          <w:marBottom w:val="0"/>
          <w:divBdr>
            <w:top w:val="none" w:sz="0" w:space="0" w:color="auto"/>
            <w:left w:val="none" w:sz="0" w:space="0" w:color="auto"/>
            <w:bottom w:val="none" w:sz="0" w:space="0" w:color="auto"/>
            <w:right w:val="none" w:sz="0" w:space="0" w:color="auto"/>
          </w:divBdr>
          <w:divsChild>
            <w:div w:id="379400014">
              <w:marLeft w:val="0"/>
              <w:marRight w:val="0"/>
              <w:marTop w:val="0"/>
              <w:marBottom w:val="0"/>
              <w:divBdr>
                <w:top w:val="none" w:sz="0" w:space="0" w:color="auto"/>
                <w:left w:val="none" w:sz="0" w:space="0" w:color="auto"/>
                <w:bottom w:val="none" w:sz="0" w:space="0" w:color="auto"/>
                <w:right w:val="none" w:sz="0" w:space="0" w:color="auto"/>
              </w:divBdr>
            </w:div>
            <w:div w:id="746851575">
              <w:marLeft w:val="0"/>
              <w:marRight w:val="0"/>
              <w:marTop w:val="0"/>
              <w:marBottom w:val="0"/>
              <w:divBdr>
                <w:top w:val="none" w:sz="0" w:space="0" w:color="auto"/>
                <w:left w:val="none" w:sz="0" w:space="0" w:color="auto"/>
                <w:bottom w:val="none" w:sz="0" w:space="0" w:color="auto"/>
                <w:right w:val="none" w:sz="0" w:space="0" w:color="auto"/>
              </w:divBdr>
            </w:div>
            <w:div w:id="1216548571">
              <w:marLeft w:val="0"/>
              <w:marRight w:val="0"/>
              <w:marTop w:val="0"/>
              <w:marBottom w:val="0"/>
              <w:divBdr>
                <w:top w:val="none" w:sz="0" w:space="0" w:color="auto"/>
                <w:left w:val="none" w:sz="0" w:space="0" w:color="auto"/>
                <w:bottom w:val="none" w:sz="0" w:space="0" w:color="auto"/>
                <w:right w:val="none" w:sz="0" w:space="0" w:color="auto"/>
              </w:divBdr>
            </w:div>
            <w:div w:id="1440687659">
              <w:marLeft w:val="0"/>
              <w:marRight w:val="0"/>
              <w:marTop w:val="0"/>
              <w:marBottom w:val="0"/>
              <w:divBdr>
                <w:top w:val="none" w:sz="0" w:space="0" w:color="auto"/>
                <w:left w:val="none" w:sz="0" w:space="0" w:color="auto"/>
                <w:bottom w:val="none" w:sz="0" w:space="0" w:color="auto"/>
                <w:right w:val="none" w:sz="0" w:space="0" w:color="auto"/>
              </w:divBdr>
            </w:div>
            <w:div w:id="16134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3060">
      <w:bodyDiv w:val="1"/>
      <w:marLeft w:val="0"/>
      <w:marRight w:val="0"/>
      <w:marTop w:val="0"/>
      <w:marBottom w:val="0"/>
      <w:divBdr>
        <w:top w:val="none" w:sz="0" w:space="0" w:color="auto"/>
        <w:left w:val="none" w:sz="0" w:space="0" w:color="auto"/>
        <w:bottom w:val="none" w:sz="0" w:space="0" w:color="auto"/>
        <w:right w:val="none" w:sz="0" w:space="0" w:color="auto"/>
      </w:divBdr>
    </w:div>
    <w:div w:id="189503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Missouri University of Science and Technology</vt:lpstr>
    </vt:vector>
  </TitlesOfParts>
  <Company>The Carson Family</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University of Science and Technology</dc:title>
  <dc:subject/>
  <dc:creator>Ronald S. Carson</dc:creator>
  <cp:keywords/>
  <cp:lastModifiedBy>Patton, Ryan</cp:lastModifiedBy>
  <cp:revision>2</cp:revision>
  <cp:lastPrinted>2003-09-19T23:35:00Z</cp:lastPrinted>
  <dcterms:created xsi:type="dcterms:W3CDTF">2020-01-27T00:38:00Z</dcterms:created>
  <dcterms:modified xsi:type="dcterms:W3CDTF">2020-01-27T00:38:00Z</dcterms:modified>
</cp:coreProperties>
</file>