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Grader Scores Analysis</w:t>
      </w:r>
    </w:p>
    <w:p>
      <w:r>
        <w:drawing>
          <wp:inline xmlns:a="http://schemas.openxmlformats.org/drawingml/2006/main" xmlns:pic="http://schemas.openxmlformats.org/drawingml/2006/picture">
            <wp:extent cx="4572000" cy="685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Boxplot of grader scores. The green line represents the global median score. Graders with significant differences in scores are marked with an asterisk.</w:t>
      </w:r>
    </w:p>
    <w:p>
      <w:pPr>
        <w:pStyle w:val="Heading2"/>
      </w:pPr>
      <w:r>
        <w:t>Significant Graders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