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D7E1C" w:rsidRPr="002876C0" w:rsidRDefault="00000000">
      <w:pPr>
        <w:pStyle w:val="Heading1"/>
        <w:spacing w:before="120" w:after="120" w:line="275" w:lineRule="auto"/>
        <w:rPr>
          <w:rFonts w:asciiTheme="majorBidi" w:eastAsia="Google Sans" w:hAnsiTheme="majorBidi" w:cstheme="majorBidi"/>
          <w:color w:val="1F1F1F"/>
        </w:rPr>
      </w:pPr>
      <w:r w:rsidRPr="002876C0">
        <w:rPr>
          <w:rFonts w:asciiTheme="majorBidi" w:eastAsia="Google Sans" w:hAnsiTheme="majorBidi" w:cstheme="majorBidi"/>
          <w:color w:val="1F1F1F"/>
        </w:rPr>
        <w:t>Market Intelligence Research Brief</w:t>
      </w:r>
    </w:p>
    <w:p w14:paraId="00000002" w14:textId="1089460C" w:rsidR="00DD7E1C" w:rsidRPr="002876C0" w:rsidRDefault="00000000">
      <w:pPr>
        <w:pBdr>
          <w:top w:val="nil"/>
          <w:left w:val="nil"/>
          <w:bottom w:val="nil"/>
          <w:right w:val="nil"/>
          <w:between w:val="nil"/>
        </w:pBdr>
        <w:spacing w:after="240" w:line="275" w:lineRule="auto"/>
        <w:rPr>
          <w:rFonts w:asciiTheme="majorBidi" w:eastAsia="Google Sans" w:hAnsiTheme="majorBidi" w:cstheme="majorBidi"/>
          <w:color w:val="1F1F1F"/>
        </w:rPr>
      </w:pPr>
      <w:r w:rsidRPr="002876C0">
        <w:rPr>
          <w:rFonts w:asciiTheme="majorBidi" w:hAnsiTheme="majorBidi" w:cstheme="majorBidi"/>
        </w:rPr>
        <w:t>Student Name: Rania</w:t>
      </w:r>
      <w:r w:rsidR="00BE4209" w:rsidRPr="002876C0">
        <w:rPr>
          <w:rFonts w:asciiTheme="majorBidi" w:hAnsiTheme="majorBidi" w:cstheme="majorBidi"/>
        </w:rPr>
        <w:t xml:space="preserve"> </w:t>
      </w:r>
      <w:proofErr w:type="spellStart"/>
      <w:r w:rsidR="00BE4209" w:rsidRPr="002876C0">
        <w:rPr>
          <w:rFonts w:asciiTheme="majorBidi" w:hAnsiTheme="majorBidi" w:cstheme="majorBidi"/>
        </w:rPr>
        <w:t>Triek</w:t>
      </w:r>
      <w:proofErr w:type="spellEnd"/>
    </w:p>
    <w:p w14:paraId="00000003" w14:textId="77777777" w:rsidR="00DD7E1C" w:rsidRPr="002876C0" w:rsidRDefault="00000000">
      <w:pPr>
        <w:pBdr>
          <w:top w:val="nil"/>
          <w:left w:val="nil"/>
          <w:bottom w:val="nil"/>
          <w:right w:val="nil"/>
          <w:between w:val="nil"/>
        </w:pBdr>
        <w:spacing w:after="240" w:line="275" w:lineRule="auto"/>
        <w:rPr>
          <w:rFonts w:asciiTheme="majorBidi" w:eastAsia="Google Sans" w:hAnsiTheme="majorBidi" w:cstheme="majorBidi"/>
          <w:color w:val="1F1F1F"/>
        </w:rPr>
      </w:pPr>
      <w:r w:rsidRPr="002876C0">
        <w:rPr>
          <w:rFonts w:asciiTheme="majorBidi" w:hAnsiTheme="majorBidi" w:cstheme="majorBidi"/>
        </w:rPr>
        <w:t>Date: October 7, 2026</w:t>
      </w:r>
    </w:p>
    <w:p w14:paraId="00000004" w14:textId="77777777" w:rsidR="00DD7E1C" w:rsidRPr="002876C0" w:rsidRDefault="00000000">
      <w:pPr>
        <w:pBdr>
          <w:top w:val="nil"/>
          <w:left w:val="nil"/>
          <w:bottom w:val="nil"/>
          <w:right w:val="nil"/>
          <w:between w:val="nil"/>
        </w:pBdr>
        <w:spacing w:after="240" w:line="275" w:lineRule="auto"/>
        <w:rPr>
          <w:rFonts w:asciiTheme="majorBidi" w:eastAsia="Google Sans" w:hAnsiTheme="majorBidi" w:cstheme="majorBidi"/>
          <w:color w:val="1F1F1F"/>
        </w:rPr>
      </w:pPr>
      <w:r w:rsidRPr="002876C0">
        <w:rPr>
          <w:rFonts w:asciiTheme="majorBidi" w:hAnsiTheme="majorBidi" w:cstheme="majorBidi"/>
        </w:rPr>
        <w:t>Topic/Company: Global Electric Vehicle (EV) Market</w:t>
      </w:r>
    </w:p>
    <w:p w14:paraId="00000005" w14:textId="77777777" w:rsidR="00DD7E1C" w:rsidRPr="002876C0" w:rsidRDefault="00000000">
      <w:pPr>
        <w:pStyle w:val="Heading2"/>
        <w:spacing w:before="120" w:after="120" w:line="275" w:lineRule="auto"/>
        <w:rPr>
          <w:rFonts w:asciiTheme="majorBidi" w:eastAsia="Google Sans" w:hAnsiTheme="majorBidi" w:cstheme="majorBidi"/>
          <w:color w:val="1F1F1F"/>
        </w:rPr>
      </w:pPr>
      <w:r>
        <w:rPr>
          <w:rFonts w:asciiTheme="majorBidi" w:hAnsiTheme="majorBidi" w:cstheme="majorBidi"/>
        </w:rPr>
        <w:pict w14:anchorId="12CF5BB2">
          <v:rect id="_x0000_i1025" style="width:0;height:1.5pt" o:hralign="center" o:hrstd="t" o:hr="t" fillcolor="#a0a0a0" stroked="f"/>
        </w:pict>
      </w:r>
      <w:r w:rsidRPr="002876C0">
        <w:rPr>
          <w:rFonts w:asciiTheme="majorBidi" w:eastAsia="Google Sans" w:hAnsiTheme="majorBidi" w:cstheme="majorBidi"/>
          <w:color w:val="1F1F1F"/>
        </w:rPr>
        <w:t>1. Research Objective</w:t>
      </w:r>
    </w:p>
    <w:p w14:paraId="00000006" w14:textId="77777777" w:rsidR="00DD7E1C" w:rsidRPr="002876C0" w:rsidRDefault="00000000">
      <w:pPr>
        <w:pBdr>
          <w:top w:val="nil"/>
          <w:left w:val="nil"/>
          <w:bottom w:val="nil"/>
          <w:right w:val="nil"/>
          <w:between w:val="nil"/>
        </w:pBdr>
        <w:spacing w:after="240" w:line="275" w:lineRule="auto"/>
        <w:rPr>
          <w:rFonts w:asciiTheme="majorBidi" w:eastAsia="Google Sans" w:hAnsiTheme="majorBidi" w:cstheme="majorBidi"/>
          <w:i/>
          <w:iCs/>
          <w:color w:val="1F1F1F"/>
        </w:rPr>
      </w:pPr>
      <w:r w:rsidRPr="002876C0">
        <w:rPr>
          <w:rFonts w:asciiTheme="majorBidi" w:eastAsia="Google Sans" w:hAnsiTheme="majorBidi" w:cstheme="majorBidi"/>
          <w:i/>
          <w:iCs/>
          <w:color w:val="1F1F1F"/>
        </w:rPr>
        <w:t>Briefly describe the business question or decision this market intelligence is intended to support.</w:t>
      </w:r>
    </w:p>
    <w:p w14:paraId="00000008" w14:textId="6B82F416" w:rsidR="00DD7E1C" w:rsidRPr="002876C0" w:rsidRDefault="00F41C62" w:rsidP="00F41C62">
      <w:pPr>
        <w:pStyle w:val="Heading2"/>
        <w:spacing w:before="120" w:after="120" w:line="275" w:lineRule="auto"/>
        <w:rPr>
          <w:rFonts w:asciiTheme="majorBidi" w:eastAsia="Google Sans" w:hAnsiTheme="majorBidi" w:cstheme="majorBidi"/>
          <w:color w:val="1F1F1F"/>
        </w:rPr>
      </w:pPr>
      <w:r w:rsidRPr="00F41C62">
        <w:rPr>
          <w:rFonts w:asciiTheme="majorBidi" w:hAnsiTheme="majorBidi" w:cstheme="majorBidi"/>
          <w:b w:val="0"/>
          <w:bCs w:val="0"/>
          <w:sz w:val="22"/>
          <w:szCs w:val="22"/>
        </w:rPr>
        <w:t>Objective: Assess the global passenger-car EV market from 2010–2023 to identify market growth, EV adoption, powertrain trends, and leading geographic markets. The research is intended to answer key business questions: How has EV sales evolved over time? Which powertrain types dominate the market? Which countries represent the strongest EV markets? These findings are intended to support decisions about market prioritization, geographic expansion, investment opportunities, and BEV-oriented market strategy.</w:t>
      </w:r>
      <w:r w:rsidR="00000000">
        <w:rPr>
          <w:rFonts w:asciiTheme="majorBidi" w:hAnsiTheme="majorBidi" w:cstheme="majorBidi"/>
        </w:rPr>
        <w:pict w14:anchorId="168D9FD8">
          <v:rect id="_x0000_i1026" style="width:0;height:1.5pt" o:hralign="center" o:hrstd="t" o:hr="t" fillcolor="#a0a0a0" stroked="f"/>
        </w:pict>
      </w:r>
      <w:r w:rsidR="00000000" w:rsidRPr="002876C0">
        <w:rPr>
          <w:rFonts w:asciiTheme="majorBidi" w:eastAsia="Google Sans" w:hAnsiTheme="majorBidi" w:cstheme="majorBidi"/>
          <w:color w:val="1F1F1F"/>
        </w:rPr>
        <w:t>2. Scope of Research</w:t>
      </w:r>
    </w:p>
    <w:p w14:paraId="00000009" w14:textId="77777777" w:rsidR="00DD7E1C" w:rsidRPr="002876C0" w:rsidRDefault="00000000">
      <w:pPr>
        <w:pBdr>
          <w:top w:val="nil"/>
          <w:left w:val="nil"/>
          <w:bottom w:val="nil"/>
          <w:right w:val="nil"/>
          <w:between w:val="nil"/>
        </w:pBdr>
        <w:spacing w:after="120" w:line="275" w:lineRule="auto"/>
        <w:rPr>
          <w:rFonts w:asciiTheme="majorBidi" w:eastAsia="Google Sans" w:hAnsiTheme="majorBidi" w:cstheme="majorBidi"/>
          <w:i/>
          <w:iCs/>
          <w:color w:val="1F1F1F"/>
        </w:rPr>
      </w:pPr>
      <w:r w:rsidRPr="002876C0">
        <w:rPr>
          <w:rFonts w:asciiTheme="majorBidi" w:eastAsia="Google Sans" w:hAnsiTheme="majorBidi" w:cstheme="majorBidi"/>
          <w:i/>
          <w:iCs/>
          <w:color w:val="1F1F1F"/>
        </w:rPr>
        <w:t>Define what was included and excluded in this research.</w:t>
      </w:r>
    </w:p>
    <w:p w14:paraId="0000000A" w14:textId="77777777" w:rsidR="00DD7E1C" w:rsidRPr="002876C0" w:rsidRDefault="00000000">
      <w:pPr>
        <w:numPr>
          <w:ilvl w:val="0"/>
          <w:numId w:val="1"/>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Markets or industries covered: Global passenger-car electric vehicle market.</w:t>
      </w:r>
    </w:p>
    <w:p w14:paraId="0000000B" w14:textId="77777777" w:rsidR="00DD7E1C" w:rsidRPr="002876C0" w:rsidRDefault="00000000">
      <w:pPr>
        <w:numPr>
          <w:ilvl w:val="0"/>
          <w:numId w:val="1"/>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Competitor types included: Not applicable. The dataset does not contain manufacturer-level competitor data; it compares EV activity across countries/regions and powertrains.</w:t>
      </w:r>
    </w:p>
    <w:p w14:paraId="0000000C" w14:textId="77777777" w:rsidR="00DD7E1C" w:rsidRPr="002876C0" w:rsidRDefault="00000000">
      <w:pPr>
        <w:numPr>
          <w:ilvl w:val="0"/>
          <w:numId w:val="1"/>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Timeframe considered: 2010–2023, with 2023 used as the latest-year comparison.</w:t>
      </w:r>
    </w:p>
    <w:p w14:paraId="0000000D" w14:textId="77777777" w:rsidR="00DD7E1C" w:rsidRPr="002876C0" w:rsidRDefault="00000000">
      <w:pPr>
        <w:numPr>
          <w:ilvl w:val="0"/>
          <w:numId w:val="1"/>
        </w:numPr>
        <w:pBdr>
          <w:top w:val="nil"/>
          <w:left w:val="nil"/>
          <w:bottom w:val="nil"/>
          <w:right w:val="nil"/>
          <w:between w:val="nil"/>
        </w:pBdr>
        <w:spacing w:after="120" w:line="275" w:lineRule="auto"/>
        <w:rPr>
          <w:rFonts w:asciiTheme="majorBidi" w:hAnsiTheme="majorBidi" w:cstheme="majorBidi"/>
        </w:rPr>
      </w:pPr>
      <w:r w:rsidRPr="002876C0">
        <w:rPr>
          <w:rFonts w:asciiTheme="majorBidi" w:hAnsiTheme="majorBidi" w:cstheme="majorBidi"/>
        </w:rPr>
        <w:t>Key constraints: Historical data only; passenger cars only; no forecasts, manufacturer data, pricing, charging infrastructure, policy, or profitability variables.</w:t>
      </w:r>
    </w:p>
    <w:p w14:paraId="0000000E" w14:textId="77777777" w:rsidR="00DD7E1C" w:rsidRPr="002876C0" w:rsidRDefault="00000000">
      <w:pPr>
        <w:pStyle w:val="Heading2"/>
        <w:spacing w:before="120" w:after="120" w:line="275" w:lineRule="auto"/>
        <w:rPr>
          <w:rFonts w:asciiTheme="majorBidi" w:eastAsia="Google Sans" w:hAnsiTheme="majorBidi" w:cstheme="majorBidi"/>
          <w:color w:val="1F1F1F"/>
        </w:rPr>
      </w:pPr>
      <w:r>
        <w:rPr>
          <w:rFonts w:asciiTheme="majorBidi" w:hAnsiTheme="majorBidi" w:cstheme="majorBidi"/>
        </w:rPr>
        <w:pict w14:anchorId="2C5BA74E">
          <v:rect id="_x0000_i1027" style="width:0;height:1.5pt" o:hralign="center" o:hrstd="t" o:hr="t" fillcolor="#a0a0a0" stroked="f"/>
        </w:pict>
      </w:r>
      <w:r w:rsidRPr="002876C0">
        <w:rPr>
          <w:rFonts w:asciiTheme="majorBidi" w:eastAsia="Google Sans" w:hAnsiTheme="majorBidi" w:cstheme="majorBidi"/>
          <w:color w:val="1F1F1F"/>
        </w:rPr>
        <w:t>3. Research Approach</w:t>
      </w:r>
    </w:p>
    <w:p w14:paraId="0000000F" w14:textId="77777777" w:rsidR="00DD7E1C" w:rsidRPr="002876C0" w:rsidRDefault="00000000">
      <w:pPr>
        <w:pBdr>
          <w:top w:val="nil"/>
          <w:left w:val="nil"/>
          <w:bottom w:val="nil"/>
          <w:right w:val="nil"/>
          <w:between w:val="nil"/>
        </w:pBdr>
        <w:spacing w:after="120" w:line="275" w:lineRule="auto"/>
        <w:rPr>
          <w:rFonts w:asciiTheme="majorBidi" w:eastAsia="Google Sans" w:hAnsiTheme="majorBidi" w:cstheme="majorBidi"/>
          <w:i/>
          <w:iCs/>
          <w:color w:val="1F1F1F"/>
        </w:rPr>
      </w:pPr>
      <w:r w:rsidRPr="002876C0">
        <w:rPr>
          <w:rFonts w:asciiTheme="majorBidi" w:eastAsia="Google Sans" w:hAnsiTheme="majorBidi" w:cstheme="majorBidi"/>
          <w:i/>
          <w:iCs/>
          <w:color w:val="1F1F1F"/>
        </w:rPr>
        <w:t>Summarize how AI-assisted research was conducted.</w:t>
      </w:r>
    </w:p>
    <w:p w14:paraId="00000010" w14:textId="77777777" w:rsidR="00DD7E1C" w:rsidRPr="002876C0" w:rsidRDefault="00000000">
      <w:pPr>
        <w:numPr>
          <w:ilvl w:val="0"/>
          <w:numId w:val="2"/>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Types of questions asked: How did global EV sales evolve? How did EV sales share change? Which powertrains dominate? Which countries lead EV sales in 2023?</w:t>
      </w:r>
    </w:p>
    <w:p w14:paraId="00000011" w14:textId="77777777" w:rsidR="00DD7E1C" w:rsidRPr="002876C0" w:rsidRDefault="00000000">
      <w:pPr>
        <w:numPr>
          <w:ilvl w:val="0"/>
          <w:numId w:val="2"/>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How research effort was prioritized: Priority was given to market scale, adoption trends, powertrain mix, and leading markets because these are directly relevant to market strategy.</w:t>
      </w:r>
    </w:p>
    <w:p w14:paraId="00000012" w14:textId="77777777" w:rsidR="00DD7E1C" w:rsidRPr="002876C0" w:rsidRDefault="00000000">
      <w:pPr>
        <w:numPr>
          <w:ilvl w:val="0"/>
          <w:numId w:val="2"/>
        </w:numPr>
        <w:pBdr>
          <w:top w:val="nil"/>
          <w:left w:val="nil"/>
          <w:bottom w:val="nil"/>
          <w:right w:val="nil"/>
          <w:between w:val="nil"/>
        </w:pBdr>
        <w:spacing w:after="120" w:line="275" w:lineRule="auto"/>
        <w:rPr>
          <w:rFonts w:asciiTheme="majorBidi" w:hAnsiTheme="majorBidi" w:cstheme="majorBidi"/>
        </w:rPr>
      </w:pPr>
      <w:r w:rsidRPr="002876C0">
        <w:rPr>
          <w:rFonts w:asciiTheme="majorBidi" w:hAnsiTheme="majorBidi" w:cstheme="majorBidi"/>
        </w:rPr>
        <w:t xml:space="preserve">Tools used within Amazon Quick Suite: AI-assisted market research agent and Amazon </w:t>
      </w:r>
      <w:proofErr w:type="spellStart"/>
      <w:r w:rsidRPr="002876C0">
        <w:rPr>
          <w:rFonts w:asciiTheme="majorBidi" w:hAnsiTheme="majorBidi" w:cstheme="majorBidi"/>
        </w:rPr>
        <w:t>QuickSight</w:t>
      </w:r>
      <w:proofErr w:type="spellEnd"/>
      <w:r w:rsidRPr="002876C0">
        <w:rPr>
          <w:rFonts w:asciiTheme="majorBidi" w:hAnsiTheme="majorBidi" w:cstheme="majorBidi"/>
        </w:rPr>
        <w:t xml:space="preserve"> for KPI cards, stacked </w:t>
      </w:r>
      <w:proofErr w:type="gramStart"/>
      <w:r w:rsidRPr="002876C0">
        <w:rPr>
          <w:rFonts w:asciiTheme="majorBidi" w:hAnsiTheme="majorBidi" w:cstheme="majorBidi"/>
        </w:rPr>
        <w:t>column</w:t>
      </w:r>
      <w:proofErr w:type="gramEnd"/>
      <w:r w:rsidRPr="002876C0">
        <w:rPr>
          <w:rFonts w:asciiTheme="majorBidi" w:hAnsiTheme="majorBidi" w:cstheme="majorBidi"/>
        </w:rPr>
        <w:t>, line, and donut visualizations.</w:t>
      </w:r>
    </w:p>
    <w:p w14:paraId="00000013" w14:textId="77777777" w:rsidR="00DD7E1C" w:rsidRPr="002876C0" w:rsidRDefault="00000000">
      <w:pPr>
        <w:pStyle w:val="Heading2"/>
        <w:spacing w:before="120" w:after="120" w:line="275" w:lineRule="auto"/>
        <w:rPr>
          <w:rFonts w:asciiTheme="majorBidi" w:eastAsia="Google Sans" w:hAnsiTheme="majorBidi" w:cstheme="majorBidi"/>
          <w:color w:val="1F1F1F"/>
        </w:rPr>
      </w:pPr>
      <w:r>
        <w:rPr>
          <w:rFonts w:asciiTheme="majorBidi" w:hAnsiTheme="majorBidi" w:cstheme="majorBidi"/>
        </w:rPr>
        <w:pict w14:anchorId="1E384787">
          <v:rect id="_x0000_i1028" style="width:0;height:1.5pt" o:hralign="center" o:hrstd="t" o:hr="t" fillcolor="#a0a0a0" stroked="f"/>
        </w:pict>
      </w:r>
      <w:r w:rsidRPr="002876C0">
        <w:rPr>
          <w:rFonts w:asciiTheme="majorBidi" w:eastAsia="Google Sans" w:hAnsiTheme="majorBidi" w:cstheme="majorBidi"/>
          <w:color w:val="1F1F1F"/>
        </w:rPr>
        <w:lastRenderedPageBreak/>
        <w:t>4. Key Market Insights</w:t>
      </w:r>
    </w:p>
    <w:p w14:paraId="00000014" w14:textId="77777777" w:rsidR="00DD7E1C" w:rsidRPr="002876C0" w:rsidRDefault="00000000">
      <w:pPr>
        <w:pBdr>
          <w:top w:val="nil"/>
          <w:left w:val="nil"/>
          <w:bottom w:val="nil"/>
          <w:right w:val="nil"/>
          <w:between w:val="nil"/>
        </w:pBdr>
        <w:spacing w:after="240" w:line="275" w:lineRule="auto"/>
        <w:rPr>
          <w:rFonts w:asciiTheme="majorBidi" w:eastAsia="Google Sans" w:hAnsiTheme="majorBidi" w:cstheme="majorBidi"/>
          <w:i/>
          <w:iCs/>
          <w:color w:val="1F1F1F"/>
        </w:rPr>
      </w:pPr>
      <w:r w:rsidRPr="002876C0">
        <w:rPr>
          <w:rFonts w:asciiTheme="majorBidi" w:eastAsia="Google Sans" w:hAnsiTheme="majorBidi" w:cstheme="majorBidi"/>
          <w:i/>
          <w:iCs/>
          <w:color w:val="1F1F1F"/>
        </w:rPr>
        <w:t>List 3–5 synthesized insights relevant to leadership decision-making.</w:t>
      </w:r>
    </w:p>
    <w:p w14:paraId="00000015" w14:textId="77777777" w:rsidR="00DD7E1C" w:rsidRPr="002876C0" w:rsidRDefault="00000000">
      <w:pPr>
        <w:pStyle w:val="Heading3"/>
        <w:spacing w:before="0" w:after="120" w:line="275" w:lineRule="auto"/>
        <w:rPr>
          <w:rFonts w:asciiTheme="majorBidi" w:eastAsia="Google Sans" w:hAnsiTheme="majorBidi" w:cstheme="majorBidi"/>
          <w:color w:val="1F1F1F"/>
        </w:rPr>
      </w:pPr>
      <w:r w:rsidRPr="002876C0">
        <w:rPr>
          <w:rFonts w:asciiTheme="majorBidi" w:eastAsia="Google Sans" w:hAnsiTheme="majorBidi" w:cstheme="majorBidi"/>
          <w:color w:val="1F1F1F"/>
        </w:rPr>
        <w:t>Insight 1</w:t>
      </w:r>
    </w:p>
    <w:p w14:paraId="00000016" w14:textId="77777777" w:rsidR="00DD7E1C" w:rsidRPr="002876C0" w:rsidRDefault="00000000">
      <w:pPr>
        <w:numPr>
          <w:ilvl w:val="0"/>
          <w:numId w:val="3"/>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Insight Summary: Global EV sales expanded substantially over 2010–2023.</w:t>
      </w:r>
    </w:p>
    <w:p w14:paraId="00000017" w14:textId="77777777" w:rsidR="00DD7E1C" w:rsidRPr="002876C0" w:rsidRDefault="00000000">
      <w:pPr>
        <w:numPr>
          <w:ilvl w:val="0"/>
          <w:numId w:val="3"/>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Supporting Evidence or Signals: The dashboard reports 383.42M total EV sales across 2010–2023 and shows a strong upward trend in EV sales.</w:t>
      </w:r>
    </w:p>
    <w:p w14:paraId="00000018" w14:textId="77777777" w:rsidR="00DD7E1C" w:rsidRPr="002876C0" w:rsidRDefault="00000000">
      <w:pPr>
        <w:numPr>
          <w:ilvl w:val="0"/>
          <w:numId w:val="3"/>
        </w:numPr>
        <w:pBdr>
          <w:top w:val="nil"/>
          <w:left w:val="nil"/>
          <w:bottom w:val="nil"/>
          <w:right w:val="nil"/>
          <w:between w:val="nil"/>
        </w:pBdr>
        <w:spacing w:after="120" w:line="275" w:lineRule="auto"/>
        <w:rPr>
          <w:rFonts w:asciiTheme="majorBidi" w:hAnsiTheme="majorBidi" w:cstheme="majorBidi"/>
        </w:rPr>
      </w:pPr>
      <w:r w:rsidRPr="002876C0">
        <w:rPr>
          <w:rFonts w:asciiTheme="majorBidi" w:hAnsiTheme="majorBidi" w:cstheme="majorBidi"/>
        </w:rPr>
        <w:t>Why This Insight Matters: EVs have moved beyond a niche market and represent a significant automotive market opportunity.</w:t>
      </w:r>
    </w:p>
    <w:p w14:paraId="00000019" w14:textId="77777777" w:rsidR="00DD7E1C" w:rsidRPr="002876C0" w:rsidRDefault="00000000">
      <w:pPr>
        <w:pStyle w:val="Heading3"/>
        <w:spacing w:after="120" w:line="275" w:lineRule="auto"/>
        <w:rPr>
          <w:rFonts w:asciiTheme="majorBidi" w:eastAsia="Google Sans" w:hAnsiTheme="majorBidi" w:cstheme="majorBidi"/>
          <w:color w:val="1F1F1F"/>
        </w:rPr>
      </w:pPr>
      <w:r w:rsidRPr="002876C0">
        <w:rPr>
          <w:rFonts w:asciiTheme="majorBidi" w:eastAsia="Google Sans" w:hAnsiTheme="majorBidi" w:cstheme="majorBidi"/>
          <w:color w:val="1F1F1F"/>
        </w:rPr>
        <w:t>Insight 2</w:t>
      </w:r>
    </w:p>
    <w:p w14:paraId="0000001A" w14:textId="77777777" w:rsidR="00DD7E1C" w:rsidRPr="002876C0" w:rsidRDefault="00000000">
      <w:pPr>
        <w:numPr>
          <w:ilvl w:val="0"/>
          <w:numId w:val="4"/>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Insight Summary: EV adoption increased strongly, reaching about 18% EV sales share in 2023.</w:t>
      </w:r>
    </w:p>
    <w:p w14:paraId="0000001B" w14:textId="77777777" w:rsidR="00DD7E1C" w:rsidRPr="002876C0" w:rsidRDefault="00000000">
      <w:pPr>
        <w:numPr>
          <w:ilvl w:val="0"/>
          <w:numId w:val="4"/>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 xml:space="preserve">Supporting Evidence or Signals: The dashboard shows EV </w:t>
      </w:r>
      <w:proofErr w:type="gramStart"/>
      <w:r w:rsidRPr="002876C0">
        <w:rPr>
          <w:rFonts w:asciiTheme="majorBidi" w:hAnsiTheme="majorBidi" w:cstheme="majorBidi"/>
        </w:rPr>
        <w:t>sales share</w:t>
      </w:r>
      <w:proofErr w:type="gramEnd"/>
      <w:r w:rsidRPr="002876C0">
        <w:rPr>
          <w:rFonts w:asciiTheme="majorBidi" w:hAnsiTheme="majorBidi" w:cstheme="majorBidi"/>
        </w:rPr>
        <w:t xml:space="preserve"> rising over time and reaching 18% in 2023.</w:t>
      </w:r>
    </w:p>
    <w:p w14:paraId="0000001C" w14:textId="77777777" w:rsidR="00DD7E1C" w:rsidRPr="002876C0" w:rsidRDefault="00000000">
      <w:pPr>
        <w:numPr>
          <w:ilvl w:val="0"/>
          <w:numId w:val="4"/>
        </w:numPr>
        <w:pBdr>
          <w:top w:val="nil"/>
          <w:left w:val="nil"/>
          <w:bottom w:val="nil"/>
          <w:right w:val="nil"/>
          <w:between w:val="nil"/>
        </w:pBdr>
        <w:spacing w:after="120" w:line="275" w:lineRule="auto"/>
        <w:rPr>
          <w:rFonts w:asciiTheme="majorBidi" w:hAnsiTheme="majorBidi" w:cstheme="majorBidi"/>
        </w:rPr>
      </w:pPr>
      <w:r w:rsidRPr="002876C0">
        <w:rPr>
          <w:rFonts w:asciiTheme="majorBidi" w:hAnsiTheme="majorBidi" w:cstheme="majorBidi"/>
        </w:rPr>
        <w:t>Why This Insight Matters: EVs had become an important part of the new passenger-car market by 2023.</w:t>
      </w:r>
    </w:p>
    <w:p w14:paraId="0000001D" w14:textId="77777777" w:rsidR="00DD7E1C" w:rsidRPr="002876C0" w:rsidRDefault="00000000">
      <w:pPr>
        <w:pStyle w:val="Heading3"/>
        <w:spacing w:after="120" w:line="275" w:lineRule="auto"/>
        <w:rPr>
          <w:rFonts w:asciiTheme="majorBidi" w:eastAsia="Google Sans" w:hAnsiTheme="majorBidi" w:cstheme="majorBidi"/>
          <w:color w:val="1F1F1F"/>
        </w:rPr>
      </w:pPr>
      <w:r w:rsidRPr="002876C0">
        <w:rPr>
          <w:rFonts w:asciiTheme="majorBidi" w:eastAsia="Google Sans" w:hAnsiTheme="majorBidi" w:cstheme="majorBidi"/>
          <w:color w:val="1F1F1F"/>
        </w:rPr>
        <w:t>Insight 3</w:t>
      </w:r>
    </w:p>
    <w:p w14:paraId="0000001E" w14:textId="77777777" w:rsidR="00DD7E1C" w:rsidRPr="002876C0" w:rsidRDefault="00000000">
      <w:pPr>
        <w:numPr>
          <w:ilvl w:val="0"/>
          <w:numId w:val="5"/>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Insight Summary: BEVs are the dominant powertrain in the EV sales mix.</w:t>
      </w:r>
    </w:p>
    <w:p w14:paraId="0000001F" w14:textId="77777777" w:rsidR="00DD7E1C" w:rsidRPr="002876C0" w:rsidRDefault="00000000">
      <w:pPr>
        <w:numPr>
          <w:ilvl w:val="0"/>
          <w:numId w:val="5"/>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Supporting Evidence or Signals: The stacked powertrain chart shows BEV sales forming the largest component compared with PHEV and FCEV.</w:t>
      </w:r>
    </w:p>
    <w:p w14:paraId="00000020" w14:textId="77777777" w:rsidR="00DD7E1C" w:rsidRPr="002876C0" w:rsidRDefault="00000000">
      <w:pPr>
        <w:numPr>
          <w:ilvl w:val="0"/>
          <w:numId w:val="5"/>
        </w:numPr>
        <w:pBdr>
          <w:top w:val="nil"/>
          <w:left w:val="nil"/>
          <w:bottom w:val="nil"/>
          <w:right w:val="nil"/>
          <w:between w:val="nil"/>
        </w:pBdr>
        <w:spacing w:after="120" w:line="275" w:lineRule="auto"/>
        <w:rPr>
          <w:rFonts w:asciiTheme="majorBidi" w:hAnsiTheme="majorBidi" w:cstheme="majorBidi"/>
        </w:rPr>
      </w:pPr>
      <w:r w:rsidRPr="002876C0">
        <w:rPr>
          <w:rFonts w:asciiTheme="majorBidi" w:hAnsiTheme="majorBidi" w:cstheme="majorBidi"/>
        </w:rPr>
        <w:t>Why This Insight Matters: BEV-focused strategies are particularly relevant when assessing EV market opportunities.</w:t>
      </w:r>
    </w:p>
    <w:p w14:paraId="00000021" w14:textId="77777777" w:rsidR="00DD7E1C" w:rsidRPr="002876C0" w:rsidRDefault="00000000">
      <w:pPr>
        <w:pBdr>
          <w:top w:val="nil"/>
          <w:left w:val="nil"/>
          <w:bottom w:val="nil"/>
          <w:right w:val="nil"/>
          <w:between w:val="nil"/>
        </w:pBdr>
        <w:spacing w:before="240" w:after="240" w:line="275" w:lineRule="auto"/>
        <w:rPr>
          <w:rFonts w:asciiTheme="majorBidi" w:eastAsia="Google Sans" w:hAnsiTheme="majorBidi" w:cstheme="majorBidi"/>
          <w:i/>
          <w:iCs/>
          <w:color w:val="1F1F1F"/>
        </w:rPr>
      </w:pPr>
      <w:r w:rsidRPr="002876C0">
        <w:rPr>
          <w:rFonts w:asciiTheme="majorBidi" w:hAnsiTheme="majorBidi" w:cstheme="majorBidi"/>
          <w:b/>
          <w:bCs/>
          <w:sz w:val="28"/>
          <w:szCs w:val="28"/>
        </w:rPr>
        <w:t>Insight 4</w:t>
      </w:r>
      <w:r w:rsidRPr="002876C0">
        <w:rPr>
          <w:rFonts w:asciiTheme="majorBidi" w:hAnsiTheme="majorBidi" w:cstheme="majorBidi"/>
        </w:rPr>
        <w:br/>
        <w:t>Insight Summary: EV sales are geographically concentrated in a small group of leading markets.</w:t>
      </w:r>
      <w:r w:rsidRPr="002876C0">
        <w:rPr>
          <w:rFonts w:asciiTheme="majorBidi" w:hAnsiTheme="majorBidi" w:cstheme="majorBidi"/>
        </w:rPr>
        <w:br/>
        <w:t>Supporting Evidence or Signals: The 2023 Top 5 visualization identifies China, the USA, Germany, France, and the United Kingdom as the leading countries in the selected EV-sales view.</w:t>
      </w:r>
      <w:r w:rsidRPr="002876C0">
        <w:rPr>
          <w:rFonts w:asciiTheme="majorBidi" w:hAnsiTheme="majorBidi" w:cstheme="majorBidi"/>
        </w:rPr>
        <w:br/>
        <w:t>Why This Insight Matters: Geographic concentration suggests that market-entry and expansion decisions should prioritize leading markets while accounting for local differences.</w:t>
      </w:r>
    </w:p>
    <w:p w14:paraId="00000022" w14:textId="77777777" w:rsidR="00DD7E1C" w:rsidRPr="002876C0" w:rsidRDefault="00000000">
      <w:pPr>
        <w:pStyle w:val="Heading2"/>
        <w:spacing w:before="120" w:after="120" w:line="275" w:lineRule="auto"/>
        <w:rPr>
          <w:rFonts w:asciiTheme="majorBidi" w:eastAsia="Google Sans" w:hAnsiTheme="majorBidi" w:cstheme="majorBidi"/>
          <w:color w:val="1F1F1F"/>
        </w:rPr>
      </w:pPr>
      <w:r>
        <w:rPr>
          <w:rFonts w:asciiTheme="majorBidi" w:hAnsiTheme="majorBidi" w:cstheme="majorBidi"/>
        </w:rPr>
        <w:pict w14:anchorId="7E5E5B33">
          <v:rect id="_x0000_i1029" style="width:0;height:1.5pt" o:hralign="center" o:hrstd="t" o:hr="t" fillcolor="#a0a0a0" stroked="f"/>
        </w:pict>
      </w:r>
      <w:r w:rsidRPr="002876C0">
        <w:rPr>
          <w:rFonts w:asciiTheme="majorBidi" w:eastAsia="Google Sans" w:hAnsiTheme="majorBidi" w:cstheme="majorBidi"/>
          <w:color w:val="1F1F1F"/>
        </w:rPr>
        <w:t>5. Visual Evidence (Optional but Recommended)</w:t>
      </w:r>
    </w:p>
    <w:p w14:paraId="00000023" w14:textId="77777777" w:rsidR="00DD7E1C" w:rsidRPr="002876C0" w:rsidRDefault="00000000">
      <w:pPr>
        <w:pBdr>
          <w:top w:val="nil"/>
          <w:left w:val="nil"/>
          <w:bottom w:val="nil"/>
          <w:right w:val="nil"/>
          <w:between w:val="nil"/>
        </w:pBdr>
        <w:spacing w:after="120" w:line="275" w:lineRule="auto"/>
        <w:rPr>
          <w:rFonts w:asciiTheme="majorBidi" w:eastAsia="Google Sans" w:hAnsiTheme="majorBidi" w:cstheme="majorBidi"/>
          <w:i/>
          <w:iCs/>
          <w:color w:val="1F1F1F"/>
        </w:rPr>
      </w:pPr>
      <w:r w:rsidRPr="002876C0">
        <w:rPr>
          <w:rFonts w:asciiTheme="majorBidi" w:eastAsia="Google Sans" w:hAnsiTheme="majorBidi" w:cstheme="majorBidi"/>
          <w:i/>
          <w:iCs/>
          <w:color w:val="1F1F1F"/>
        </w:rPr>
        <w:t>Reference any charts, dashboards, or visualizations used to support the insights.</w:t>
      </w:r>
    </w:p>
    <w:p w14:paraId="00000024" w14:textId="77777777" w:rsidR="00DD7E1C" w:rsidRPr="002876C0" w:rsidRDefault="00000000">
      <w:pPr>
        <w:numPr>
          <w:ilvl w:val="0"/>
          <w:numId w:val="6"/>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Chart Type: KPI cards, stacked column chart, line chart, and donut chart.</w:t>
      </w:r>
    </w:p>
    <w:p w14:paraId="00000025" w14:textId="77777777" w:rsidR="00DD7E1C" w:rsidRPr="002876C0" w:rsidRDefault="00000000">
      <w:pPr>
        <w:numPr>
          <w:ilvl w:val="0"/>
          <w:numId w:val="6"/>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What the visualization shows: The dashboard presents total EV sales, 2023 EV sales share, 2023 EV stock, EV sales by powertrain over time, EV sales-share trend, and the Top 5 countries by EV sales in 2023.</w:t>
      </w:r>
    </w:p>
    <w:p w14:paraId="00000026" w14:textId="77777777" w:rsidR="00DD7E1C" w:rsidRPr="002876C0" w:rsidRDefault="00000000">
      <w:pPr>
        <w:numPr>
          <w:ilvl w:val="0"/>
          <w:numId w:val="6"/>
        </w:numPr>
        <w:pBdr>
          <w:top w:val="nil"/>
          <w:left w:val="nil"/>
          <w:bottom w:val="nil"/>
          <w:right w:val="nil"/>
          <w:between w:val="nil"/>
        </w:pBdr>
        <w:spacing w:after="120" w:line="275" w:lineRule="auto"/>
        <w:rPr>
          <w:rFonts w:asciiTheme="majorBidi" w:hAnsiTheme="majorBidi" w:cstheme="majorBidi"/>
        </w:rPr>
      </w:pPr>
      <w:r w:rsidRPr="002876C0">
        <w:rPr>
          <w:rFonts w:asciiTheme="majorBidi" w:hAnsiTheme="majorBidi" w:cstheme="majorBidi"/>
        </w:rPr>
        <w:t xml:space="preserve">How it supports </w:t>
      </w:r>
      <w:proofErr w:type="gramStart"/>
      <w:r w:rsidRPr="002876C0">
        <w:rPr>
          <w:rFonts w:asciiTheme="majorBidi" w:hAnsiTheme="majorBidi" w:cstheme="majorBidi"/>
        </w:rPr>
        <w:t>the insight</w:t>
      </w:r>
      <w:proofErr w:type="gramEnd"/>
      <w:r w:rsidRPr="002876C0">
        <w:rPr>
          <w:rFonts w:asciiTheme="majorBidi" w:hAnsiTheme="majorBidi" w:cstheme="majorBidi"/>
        </w:rPr>
        <w:t>: These visuals provide evidence for market size, adoption, technology mix, historical trends, and geographic concentration.</w:t>
      </w:r>
    </w:p>
    <w:p w14:paraId="2461E499" w14:textId="77777777" w:rsidR="00F41C62" w:rsidRPr="00F41C62" w:rsidRDefault="00000000" w:rsidP="00F41C62">
      <w:pPr>
        <w:pStyle w:val="Heading2"/>
        <w:spacing w:before="120" w:after="120" w:line="275" w:lineRule="auto"/>
        <w:rPr>
          <w:rFonts w:asciiTheme="majorBidi" w:eastAsia="Google Sans" w:hAnsiTheme="majorBidi" w:cstheme="majorBidi"/>
          <w:color w:val="1F1F1F"/>
        </w:rPr>
      </w:pPr>
      <w:r>
        <w:rPr>
          <w:rFonts w:asciiTheme="majorBidi" w:hAnsiTheme="majorBidi" w:cstheme="majorBidi"/>
        </w:rPr>
        <w:lastRenderedPageBreak/>
        <w:pict w14:anchorId="4942E144">
          <v:rect id="_x0000_i1055" style="width:0;height:1.5pt" o:hralign="center" o:hrstd="t" o:hr="t" fillcolor="#a0a0a0" stroked="f"/>
        </w:pict>
      </w:r>
      <w:r w:rsidR="00F41C62" w:rsidRPr="00F41C62">
        <w:rPr>
          <w:rFonts w:asciiTheme="majorBidi" w:eastAsia="Google Sans" w:hAnsiTheme="majorBidi" w:cstheme="majorBidi"/>
          <w:color w:val="1F1F1F"/>
        </w:rPr>
        <w:t>6. Confidence Assessment</w:t>
      </w:r>
    </w:p>
    <w:p w14:paraId="5A8B8205" w14:textId="77777777" w:rsidR="00F41C62" w:rsidRPr="00F41C62" w:rsidRDefault="00F41C62" w:rsidP="00F41C62">
      <w:pPr>
        <w:pStyle w:val="Heading2"/>
        <w:spacing w:before="120" w:after="120" w:line="275" w:lineRule="auto"/>
        <w:rPr>
          <w:rFonts w:asciiTheme="majorBidi" w:eastAsia="Google Sans" w:hAnsiTheme="majorBidi" w:cstheme="majorBidi"/>
          <w:color w:val="1F1F1F"/>
          <w:sz w:val="24"/>
          <w:szCs w:val="24"/>
        </w:rPr>
      </w:pPr>
      <w:r w:rsidRPr="00F41C62">
        <w:rPr>
          <w:rFonts w:asciiTheme="majorBidi" w:eastAsia="Google Sans" w:hAnsiTheme="majorBidi" w:cstheme="majorBidi"/>
          <w:color w:val="1F1F1F"/>
          <w:sz w:val="24"/>
          <w:szCs w:val="24"/>
        </w:rPr>
        <w:t>Insight 1 — Global EV Sales Growth</w:t>
      </w:r>
    </w:p>
    <w:p w14:paraId="3507DBC0" w14:textId="77777777" w:rsidR="00F41C62" w:rsidRPr="00F41C62" w:rsidRDefault="00F41C62" w:rsidP="00F41C62">
      <w:pPr>
        <w:pStyle w:val="Heading2"/>
        <w:numPr>
          <w:ilvl w:val="0"/>
          <w:numId w:val="12"/>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Source quality: High — The analysis uses a structured historical IEA EV dataset covering annual EV sales from 2010–2023.</w:t>
      </w:r>
    </w:p>
    <w:p w14:paraId="098617BD" w14:textId="77777777" w:rsidR="00F41C62" w:rsidRPr="00F41C62" w:rsidRDefault="00F41C62" w:rsidP="00F41C62">
      <w:pPr>
        <w:pStyle w:val="Heading2"/>
        <w:numPr>
          <w:ilvl w:val="0"/>
          <w:numId w:val="12"/>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Source credibility: High — The dataset is attributed to the International Energy Agency (IEA), a credible source for energy and transport statistics.</w:t>
      </w:r>
    </w:p>
    <w:p w14:paraId="78496FF8" w14:textId="77777777" w:rsidR="00F41C62" w:rsidRPr="00F41C62" w:rsidRDefault="00F41C62" w:rsidP="00F41C62">
      <w:pPr>
        <w:pStyle w:val="Heading2"/>
        <w:numPr>
          <w:ilvl w:val="0"/>
          <w:numId w:val="12"/>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Timeliness: Medium — The latest available year is 2023, so the finding is suitable for historical analysis but does not reflect post-2023 conditions.</w:t>
      </w:r>
    </w:p>
    <w:p w14:paraId="345973C8" w14:textId="77777777" w:rsidR="00F41C62" w:rsidRPr="00F41C62" w:rsidRDefault="00F41C62" w:rsidP="00F41C62">
      <w:pPr>
        <w:pStyle w:val="Heading2"/>
        <w:numPr>
          <w:ilvl w:val="0"/>
          <w:numId w:val="12"/>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Overall confidence: High for the descriptive historical finding.</w:t>
      </w:r>
    </w:p>
    <w:p w14:paraId="66BB8EB4" w14:textId="77777777" w:rsidR="00F41C62" w:rsidRPr="00F41C62" w:rsidRDefault="00F41C62" w:rsidP="00F41C62">
      <w:pPr>
        <w:pStyle w:val="Heading2"/>
        <w:spacing w:before="120" w:after="120" w:line="275" w:lineRule="auto"/>
        <w:rPr>
          <w:rFonts w:asciiTheme="majorBidi" w:eastAsia="Google Sans" w:hAnsiTheme="majorBidi" w:cstheme="majorBidi"/>
          <w:color w:val="1F1F1F"/>
          <w:sz w:val="24"/>
          <w:szCs w:val="24"/>
        </w:rPr>
      </w:pPr>
      <w:r w:rsidRPr="00F41C62">
        <w:rPr>
          <w:rFonts w:asciiTheme="majorBidi" w:eastAsia="Google Sans" w:hAnsiTheme="majorBidi" w:cstheme="majorBidi"/>
          <w:color w:val="1F1F1F"/>
          <w:sz w:val="24"/>
          <w:szCs w:val="24"/>
        </w:rPr>
        <w:t>Insight 2 — EV Sales Share Reached 18% in 2023</w:t>
      </w:r>
    </w:p>
    <w:p w14:paraId="445E816E" w14:textId="77777777" w:rsidR="00F41C62" w:rsidRPr="00F41C62" w:rsidRDefault="00F41C62" w:rsidP="00F41C62">
      <w:pPr>
        <w:pStyle w:val="Heading2"/>
        <w:numPr>
          <w:ilvl w:val="0"/>
          <w:numId w:val="13"/>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Source quality: High — The 2023 EV sales-share value is directly represented in the dataset and dashboard.</w:t>
      </w:r>
    </w:p>
    <w:p w14:paraId="78984454" w14:textId="77777777" w:rsidR="00F41C62" w:rsidRPr="00F41C62" w:rsidRDefault="00F41C62" w:rsidP="00F41C62">
      <w:pPr>
        <w:pStyle w:val="Heading2"/>
        <w:numPr>
          <w:ilvl w:val="0"/>
          <w:numId w:val="13"/>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Source credibility: High — The underlying data is attributed to the IEA.</w:t>
      </w:r>
    </w:p>
    <w:p w14:paraId="048255E3" w14:textId="77777777" w:rsidR="00F41C62" w:rsidRPr="00F41C62" w:rsidRDefault="00F41C62" w:rsidP="00F41C62">
      <w:pPr>
        <w:pStyle w:val="Heading2"/>
        <w:numPr>
          <w:ilvl w:val="0"/>
          <w:numId w:val="13"/>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Timeliness: Medium — 2023 is the latest year in the dataset.</w:t>
      </w:r>
    </w:p>
    <w:p w14:paraId="17259340" w14:textId="77777777" w:rsidR="00F41C62" w:rsidRPr="00F41C62" w:rsidRDefault="00F41C62" w:rsidP="00F41C62">
      <w:pPr>
        <w:pStyle w:val="Heading2"/>
        <w:numPr>
          <w:ilvl w:val="0"/>
          <w:numId w:val="13"/>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Overall confidence: High for the historical 2023 sales-share finding.</w:t>
      </w:r>
    </w:p>
    <w:p w14:paraId="178EB10E" w14:textId="77777777" w:rsidR="00F41C62" w:rsidRPr="00F41C62" w:rsidRDefault="00F41C62" w:rsidP="00F41C62">
      <w:pPr>
        <w:pStyle w:val="Heading2"/>
        <w:spacing w:before="120" w:after="120" w:line="275" w:lineRule="auto"/>
        <w:rPr>
          <w:rFonts w:asciiTheme="majorBidi" w:eastAsia="Google Sans" w:hAnsiTheme="majorBidi" w:cstheme="majorBidi"/>
          <w:color w:val="1F1F1F"/>
          <w:sz w:val="24"/>
          <w:szCs w:val="24"/>
        </w:rPr>
      </w:pPr>
      <w:r w:rsidRPr="00F41C62">
        <w:rPr>
          <w:rFonts w:asciiTheme="majorBidi" w:eastAsia="Google Sans" w:hAnsiTheme="majorBidi" w:cstheme="majorBidi"/>
          <w:color w:val="1F1F1F"/>
          <w:sz w:val="24"/>
          <w:szCs w:val="24"/>
        </w:rPr>
        <w:t>Insight 3 — BEVs Dominate the EV Sales Mix</w:t>
      </w:r>
    </w:p>
    <w:p w14:paraId="582B1F68" w14:textId="77777777" w:rsidR="00F41C62" w:rsidRPr="00F41C62" w:rsidRDefault="00F41C62" w:rsidP="00F41C62">
      <w:pPr>
        <w:pStyle w:val="Heading2"/>
        <w:numPr>
          <w:ilvl w:val="0"/>
          <w:numId w:val="14"/>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Source quality: High — Powertrain-level sales data is available in the structured dataset and visualized in the dashboard.</w:t>
      </w:r>
    </w:p>
    <w:p w14:paraId="0960B0E7" w14:textId="77777777" w:rsidR="00F41C62" w:rsidRPr="00F41C62" w:rsidRDefault="00F41C62" w:rsidP="00F41C62">
      <w:pPr>
        <w:pStyle w:val="Heading2"/>
        <w:numPr>
          <w:ilvl w:val="0"/>
          <w:numId w:val="14"/>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Source credibility: High — The underlying dataset is attributed to the IEA.</w:t>
      </w:r>
    </w:p>
    <w:p w14:paraId="5D6F3268" w14:textId="77777777" w:rsidR="00F41C62" w:rsidRPr="00F41C62" w:rsidRDefault="00F41C62" w:rsidP="00F41C62">
      <w:pPr>
        <w:pStyle w:val="Heading2"/>
        <w:numPr>
          <w:ilvl w:val="0"/>
          <w:numId w:val="14"/>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Timeliness: Medium — The analysis ends in 2023.</w:t>
      </w:r>
    </w:p>
    <w:p w14:paraId="0DEDAB3B" w14:textId="77777777" w:rsidR="00F41C62" w:rsidRPr="00F41C62" w:rsidRDefault="00F41C62" w:rsidP="00F41C62">
      <w:pPr>
        <w:pStyle w:val="Heading2"/>
        <w:numPr>
          <w:ilvl w:val="0"/>
          <w:numId w:val="14"/>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Overall confidence: High for the historical powertrain-mix finding.</w:t>
      </w:r>
    </w:p>
    <w:p w14:paraId="71CEBC0A" w14:textId="77777777" w:rsidR="00F41C62" w:rsidRPr="00F41C62" w:rsidRDefault="00F41C62" w:rsidP="00F41C62">
      <w:pPr>
        <w:pStyle w:val="Heading2"/>
        <w:spacing w:before="120" w:after="120" w:line="275" w:lineRule="auto"/>
        <w:rPr>
          <w:rFonts w:asciiTheme="majorBidi" w:eastAsia="Google Sans" w:hAnsiTheme="majorBidi" w:cstheme="majorBidi"/>
          <w:color w:val="1F1F1F"/>
          <w:sz w:val="24"/>
          <w:szCs w:val="24"/>
        </w:rPr>
      </w:pPr>
      <w:r w:rsidRPr="00F41C62">
        <w:rPr>
          <w:rFonts w:asciiTheme="majorBidi" w:eastAsia="Google Sans" w:hAnsiTheme="majorBidi" w:cstheme="majorBidi"/>
          <w:color w:val="1F1F1F"/>
          <w:sz w:val="24"/>
          <w:szCs w:val="24"/>
        </w:rPr>
        <w:t>Insight 4 — EV Sales Are Geographically Concentrated</w:t>
      </w:r>
    </w:p>
    <w:p w14:paraId="2310C206" w14:textId="77777777" w:rsidR="00F41C62" w:rsidRPr="00F41C62" w:rsidRDefault="00F41C62" w:rsidP="00F41C62">
      <w:pPr>
        <w:pStyle w:val="Heading2"/>
        <w:numPr>
          <w:ilvl w:val="0"/>
          <w:numId w:val="15"/>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Source quality: High — The dashboard uses country-level EV sales data to identify the leading markets in 2023.</w:t>
      </w:r>
    </w:p>
    <w:p w14:paraId="54F0135B" w14:textId="77777777" w:rsidR="00F41C62" w:rsidRPr="00F41C62" w:rsidRDefault="00F41C62" w:rsidP="00F41C62">
      <w:pPr>
        <w:pStyle w:val="Heading2"/>
        <w:numPr>
          <w:ilvl w:val="0"/>
          <w:numId w:val="15"/>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Source credibility: High — The underlying data is attributed to the IEA.</w:t>
      </w:r>
    </w:p>
    <w:p w14:paraId="19236639" w14:textId="77777777" w:rsidR="00F41C62" w:rsidRPr="00F41C62" w:rsidRDefault="00F41C62" w:rsidP="00F41C62">
      <w:pPr>
        <w:pStyle w:val="Heading2"/>
        <w:numPr>
          <w:ilvl w:val="0"/>
          <w:numId w:val="15"/>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 xml:space="preserve">Timeliness: </w:t>
      </w:r>
      <w:proofErr w:type="gramStart"/>
      <w:r w:rsidRPr="00F41C62">
        <w:rPr>
          <w:rFonts w:asciiTheme="majorBidi" w:eastAsia="Google Sans" w:hAnsiTheme="majorBidi" w:cstheme="majorBidi"/>
          <w:b w:val="0"/>
          <w:bCs w:val="0"/>
          <w:color w:val="1F1F1F"/>
          <w:sz w:val="22"/>
          <w:szCs w:val="22"/>
        </w:rPr>
        <w:t>Medium —</w:t>
      </w:r>
      <w:proofErr w:type="gramEnd"/>
      <w:r w:rsidRPr="00F41C62">
        <w:rPr>
          <w:rFonts w:asciiTheme="majorBidi" w:eastAsia="Google Sans" w:hAnsiTheme="majorBidi" w:cstheme="majorBidi"/>
          <w:b w:val="0"/>
          <w:bCs w:val="0"/>
          <w:color w:val="1F1F1F"/>
          <w:sz w:val="22"/>
          <w:szCs w:val="22"/>
        </w:rPr>
        <w:t xml:space="preserve"> The latest year available is 2023.</w:t>
      </w:r>
    </w:p>
    <w:p w14:paraId="7E155C37" w14:textId="77777777" w:rsidR="00F41C62" w:rsidRPr="00F41C62" w:rsidRDefault="00F41C62" w:rsidP="00F41C62">
      <w:pPr>
        <w:pStyle w:val="Heading2"/>
        <w:numPr>
          <w:ilvl w:val="0"/>
          <w:numId w:val="15"/>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Data interpretation risk: Medium — The dataset contains both individual countries and geographic aggregates such as World, Europe, and EU27, so rankings must distinguish countries from aggregates.</w:t>
      </w:r>
    </w:p>
    <w:p w14:paraId="147F9D13" w14:textId="77777777" w:rsidR="00F41C62" w:rsidRPr="00F41C62" w:rsidRDefault="00F41C62" w:rsidP="00F41C62">
      <w:pPr>
        <w:pStyle w:val="Heading2"/>
        <w:numPr>
          <w:ilvl w:val="0"/>
          <w:numId w:val="15"/>
        </w:numPr>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Overall confidence: Medium-High for the 2023 geographic ranking.</w:t>
      </w:r>
    </w:p>
    <w:p w14:paraId="7EB99560" w14:textId="77777777" w:rsidR="00F41C62" w:rsidRPr="00F41C62" w:rsidRDefault="00F41C62" w:rsidP="00F41C62">
      <w:pPr>
        <w:pStyle w:val="Heading2"/>
        <w:spacing w:before="120" w:after="120" w:line="275" w:lineRule="auto"/>
        <w:rPr>
          <w:rFonts w:asciiTheme="majorBidi" w:eastAsia="Google Sans" w:hAnsiTheme="majorBidi" w:cstheme="majorBidi"/>
          <w:b w:val="0"/>
          <w:bCs w:val="0"/>
          <w:color w:val="1F1F1F"/>
          <w:sz w:val="22"/>
          <w:szCs w:val="22"/>
        </w:rPr>
      </w:pPr>
      <w:r w:rsidRPr="00F41C62">
        <w:rPr>
          <w:rFonts w:asciiTheme="majorBidi" w:eastAsia="Google Sans" w:hAnsiTheme="majorBidi" w:cstheme="majorBidi"/>
          <w:b w:val="0"/>
          <w:bCs w:val="0"/>
          <w:color w:val="1F1F1F"/>
          <w:sz w:val="22"/>
          <w:szCs w:val="22"/>
        </w:rPr>
        <w:t>Overall assessment: Confidence is high for descriptive historical findings and medium for forward-looking implications because the dataset ends in 2023 and does not contain forecasts, causal variables, pricing, policy, or profitability data.</w:t>
      </w:r>
    </w:p>
    <w:p w14:paraId="0000002D" w14:textId="30A47BE9" w:rsidR="00DD7E1C" w:rsidRPr="002876C0" w:rsidRDefault="00000000" w:rsidP="00F41C62">
      <w:pPr>
        <w:pStyle w:val="Heading2"/>
        <w:spacing w:before="120" w:after="120" w:line="275" w:lineRule="auto"/>
        <w:rPr>
          <w:rFonts w:asciiTheme="majorBidi" w:eastAsia="Google Sans" w:hAnsiTheme="majorBidi" w:cstheme="majorBidi"/>
          <w:color w:val="1F1F1F"/>
        </w:rPr>
      </w:pPr>
      <w:r>
        <w:rPr>
          <w:rFonts w:asciiTheme="majorBidi" w:hAnsiTheme="majorBidi" w:cstheme="majorBidi"/>
        </w:rPr>
        <w:lastRenderedPageBreak/>
        <w:pict w14:anchorId="75B67574">
          <v:rect id="_x0000_i1058" style="width:0;height:1.5pt" o:hralign="center" o:hrstd="t" o:hr="t" fillcolor="#a0a0a0" stroked="f"/>
        </w:pict>
      </w:r>
      <w:r w:rsidRPr="002876C0">
        <w:rPr>
          <w:rFonts w:asciiTheme="majorBidi" w:eastAsia="Google Sans" w:hAnsiTheme="majorBidi" w:cstheme="majorBidi"/>
          <w:color w:val="1F1F1F"/>
        </w:rPr>
        <w:t>7. Limitations and Risks</w:t>
      </w:r>
    </w:p>
    <w:p w14:paraId="0000002E" w14:textId="77777777" w:rsidR="00DD7E1C" w:rsidRPr="002876C0" w:rsidRDefault="00000000">
      <w:pPr>
        <w:pBdr>
          <w:top w:val="nil"/>
          <w:left w:val="nil"/>
          <w:bottom w:val="nil"/>
          <w:right w:val="nil"/>
          <w:between w:val="nil"/>
        </w:pBdr>
        <w:spacing w:after="120" w:line="275" w:lineRule="auto"/>
        <w:rPr>
          <w:rFonts w:asciiTheme="majorBidi" w:eastAsia="Google Sans" w:hAnsiTheme="majorBidi" w:cstheme="majorBidi"/>
          <w:i/>
          <w:iCs/>
          <w:color w:val="1F1F1F"/>
        </w:rPr>
      </w:pPr>
      <w:r w:rsidRPr="002876C0">
        <w:rPr>
          <w:rFonts w:asciiTheme="majorBidi" w:eastAsia="Google Sans" w:hAnsiTheme="majorBidi" w:cstheme="majorBidi"/>
          <w:i/>
          <w:iCs/>
          <w:color w:val="1F1F1F"/>
        </w:rPr>
        <w:t>Document known gaps, assumptions, or areas of uncertainty.</w:t>
      </w:r>
    </w:p>
    <w:p w14:paraId="0000002F" w14:textId="77777777" w:rsidR="00DD7E1C" w:rsidRPr="002876C0" w:rsidRDefault="00000000">
      <w:pPr>
        <w:numPr>
          <w:ilvl w:val="0"/>
          <w:numId w:val="8"/>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Missing data: Manufacturer-level sales, prices, charging infrastructure, policy/incentives, profitability, consumer demographics, and forecasts are not included.</w:t>
      </w:r>
    </w:p>
    <w:p w14:paraId="00000030" w14:textId="77777777" w:rsidR="00DD7E1C" w:rsidRPr="002876C0" w:rsidRDefault="00000000">
      <w:pPr>
        <w:numPr>
          <w:ilvl w:val="0"/>
          <w:numId w:val="8"/>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Conflicting signals: No major internal conflicts were identified. However, the region field contains both individual countries and geographic aggregates.</w:t>
      </w:r>
    </w:p>
    <w:p w14:paraId="00000031" w14:textId="77777777" w:rsidR="00DD7E1C" w:rsidRPr="002876C0" w:rsidRDefault="00000000">
      <w:pPr>
        <w:numPr>
          <w:ilvl w:val="0"/>
          <w:numId w:val="8"/>
        </w:numPr>
        <w:pBdr>
          <w:top w:val="nil"/>
          <w:left w:val="nil"/>
          <w:bottom w:val="nil"/>
          <w:right w:val="nil"/>
          <w:between w:val="nil"/>
        </w:pBdr>
        <w:spacing w:after="120" w:line="275" w:lineRule="auto"/>
        <w:rPr>
          <w:rFonts w:asciiTheme="majorBidi" w:hAnsiTheme="majorBidi" w:cstheme="majorBidi"/>
        </w:rPr>
      </w:pPr>
      <w:r w:rsidRPr="002876C0">
        <w:rPr>
          <w:rFonts w:asciiTheme="majorBidi" w:hAnsiTheme="majorBidi" w:cstheme="majorBidi"/>
        </w:rPr>
        <w:t>Potential bias or ambiguity: The analysis covers passenger cars only. Aggregates such as World, Europe, and EU27 should not be treated as individual countries or combined with countries in the same ranking.</w:t>
      </w:r>
    </w:p>
    <w:p w14:paraId="00000032" w14:textId="77777777" w:rsidR="00DD7E1C" w:rsidRPr="002876C0" w:rsidRDefault="00000000">
      <w:pPr>
        <w:pStyle w:val="Heading2"/>
        <w:spacing w:before="120" w:after="120" w:line="275" w:lineRule="auto"/>
        <w:rPr>
          <w:rFonts w:asciiTheme="majorBidi" w:eastAsia="Google Sans" w:hAnsiTheme="majorBidi" w:cstheme="majorBidi"/>
          <w:color w:val="1F1F1F"/>
        </w:rPr>
      </w:pPr>
      <w:r>
        <w:rPr>
          <w:rFonts w:asciiTheme="majorBidi" w:hAnsiTheme="majorBidi" w:cstheme="majorBidi"/>
        </w:rPr>
        <w:pict w14:anchorId="67F8608E">
          <v:rect id="_x0000_i1032" style="width:0;height:1.5pt" o:hralign="center" o:hrstd="t" o:hr="t" fillcolor="#a0a0a0" stroked="f"/>
        </w:pict>
      </w:r>
      <w:r w:rsidRPr="002876C0">
        <w:rPr>
          <w:rFonts w:asciiTheme="majorBidi" w:eastAsia="Google Sans" w:hAnsiTheme="majorBidi" w:cstheme="majorBidi"/>
          <w:color w:val="1F1F1F"/>
        </w:rPr>
        <w:t>8. Strategic Implications</w:t>
      </w:r>
    </w:p>
    <w:p w14:paraId="00000033" w14:textId="77777777" w:rsidR="00DD7E1C" w:rsidRPr="002876C0" w:rsidRDefault="00000000">
      <w:pPr>
        <w:pBdr>
          <w:top w:val="nil"/>
          <w:left w:val="nil"/>
          <w:bottom w:val="nil"/>
          <w:right w:val="nil"/>
          <w:between w:val="nil"/>
        </w:pBdr>
        <w:spacing w:after="120" w:line="275" w:lineRule="auto"/>
        <w:rPr>
          <w:rFonts w:asciiTheme="majorBidi" w:eastAsia="Google Sans" w:hAnsiTheme="majorBidi" w:cstheme="majorBidi"/>
          <w:i/>
          <w:iCs/>
          <w:color w:val="1F1F1F"/>
        </w:rPr>
      </w:pPr>
      <w:r w:rsidRPr="002876C0">
        <w:rPr>
          <w:rFonts w:asciiTheme="majorBidi" w:eastAsia="Google Sans" w:hAnsiTheme="majorBidi" w:cstheme="majorBidi"/>
          <w:i/>
          <w:iCs/>
          <w:color w:val="1F1F1F"/>
        </w:rPr>
        <w:t>Explain how leadership should interpret and use this intelligence.</w:t>
      </w:r>
    </w:p>
    <w:p w14:paraId="00000034" w14:textId="77777777" w:rsidR="00DD7E1C" w:rsidRPr="002876C0" w:rsidRDefault="00000000">
      <w:pPr>
        <w:numPr>
          <w:ilvl w:val="0"/>
          <w:numId w:val="9"/>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What decisions could this inform? * Prioritize EV market opportunities and investment areas based on market size, adoption, powertrain mix, and geographic concentration.</w:t>
      </w:r>
    </w:p>
    <w:p w14:paraId="00000035" w14:textId="77777777" w:rsidR="00DD7E1C" w:rsidRPr="002876C0" w:rsidRDefault="00000000">
      <w:pPr>
        <w:numPr>
          <w:ilvl w:val="1"/>
          <w:numId w:val="10"/>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 xml:space="preserve">Support decisions about geographic expansion and BEV-oriented </w:t>
      </w:r>
      <w:proofErr w:type="gramStart"/>
      <w:r w:rsidRPr="002876C0">
        <w:rPr>
          <w:rFonts w:asciiTheme="majorBidi" w:hAnsiTheme="majorBidi" w:cstheme="majorBidi"/>
        </w:rPr>
        <w:t>product</w:t>
      </w:r>
      <w:proofErr w:type="gramEnd"/>
      <w:r w:rsidRPr="002876C0">
        <w:rPr>
          <w:rFonts w:asciiTheme="majorBidi" w:hAnsiTheme="majorBidi" w:cstheme="majorBidi"/>
        </w:rPr>
        <w:t xml:space="preserve"> or market strategies.</w:t>
      </w:r>
    </w:p>
    <w:p w14:paraId="00000036" w14:textId="77777777" w:rsidR="00DD7E1C" w:rsidRPr="002876C0" w:rsidRDefault="00000000">
      <w:pPr>
        <w:numPr>
          <w:ilvl w:val="0"/>
          <w:numId w:val="9"/>
        </w:numPr>
        <w:pBdr>
          <w:top w:val="nil"/>
          <w:left w:val="nil"/>
          <w:bottom w:val="nil"/>
          <w:right w:val="nil"/>
          <w:between w:val="nil"/>
        </w:pBdr>
        <w:spacing w:line="275" w:lineRule="auto"/>
        <w:rPr>
          <w:rFonts w:asciiTheme="majorBidi" w:hAnsiTheme="majorBidi" w:cstheme="majorBidi"/>
        </w:rPr>
      </w:pPr>
      <w:r w:rsidRPr="002876C0">
        <w:rPr>
          <w:rFonts w:asciiTheme="majorBidi" w:hAnsiTheme="majorBidi" w:cstheme="majorBidi"/>
        </w:rPr>
        <w:t xml:space="preserve">What should not be concluded from this research? * The analysis does not prove that a specific policy, price change, or other external </w:t>
      </w:r>
      <w:proofErr w:type="gramStart"/>
      <w:r w:rsidRPr="002876C0">
        <w:rPr>
          <w:rFonts w:asciiTheme="majorBidi" w:hAnsiTheme="majorBidi" w:cstheme="majorBidi"/>
        </w:rPr>
        <w:t>factor</w:t>
      </w:r>
      <w:proofErr w:type="gramEnd"/>
      <w:r w:rsidRPr="002876C0">
        <w:rPr>
          <w:rFonts w:asciiTheme="majorBidi" w:hAnsiTheme="majorBidi" w:cstheme="majorBidi"/>
        </w:rPr>
        <w:t xml:space="preserve"> caused EV sales growth.</w:t>
      </w:r>
    </w:p>
    <w:p w14:paraId="00000037" w14:textId="77777777" w:rsidR="00DD7E1C" w:rsidRPr="002876C0" w:rsidRDefault="00000000">
      <w:pPr>
        <w:numPr>
          <w:ilvl w:val="1"/>
          <w:numId w:val="11"/>
        </w:numPr>
        <w:pBdr>
          <w:top w:val="nil"/>
          <w:left w:val="nil"/>
          <w:bottom w:val="nil"/>
          <w:right w:val="nil"/>
          <w:between w:val="nil"/>
        </w:pBdr>
        <w:spacing w:after="120" w:line="275" w:lineRule="auto"/>
        <w:rPr>
          <w:rFonts w:asciiTheme="majorBidi" w:hAnsiTheme="majorBidi" w:cstheme="majorBidi"/>
        </w:rPr>
      </w:pPr>
      <w:r w:rsidRPr="002876C0">
        <w:rPr>
          <w:rFonts w:asciiTheme="majorBidi" w:hAnsiTheme="majorBidi" w:cstheme="majorBidi"/>
        </w:rPr>
        <w:t>The findings should not be treated as a forecast of future sales, market share, or profitability.</w:t>
      </w:r>
    </w:p>
    <w:p w14:paraId="00000038" w14:textId="77777777" w:rsidR="00DD7E1C" w:rsidRPr="002876C0" w:rsidRDefault="00000000">
      <w:pPr>
        <w:pStyle w:val="Heading2"/>
        <w:spacing w:before="120" w:after="120" w:line="275" w:lineRule="auto"/>
        <w:rPr>
          <w:rFonts w:asciiTheme="majorBidi" w:eastAsia="Google Sans" w:hAnsiTheme="majorBidi" w:cstheme="majorBidi"/>
          <w:color w:val="1F1F1F"/>
        </w:rPr>
      </w:pPr>
      <w:r>
        <w:rPr>
          <w:rFonts w:asciiTheme="majorBidi" w:hAnsiTheme="majorBidi" w:cstheme="majorBidi"/>
        </w:rPr>
        <w:pict w14:anchorId="57787ACA">
          <v:rect id="_x0000_i1033" style="width:0;height:1.5pt" o:hralign="center" o:hrstd="t" o:hr="t" fillcolor="#a0a0a0" stroked="f"/>
        </w:pict>
      </w:r>
      <w:r w:rsidRPr="002876C0">
        <w:rPr>
          <w:rFonts w:asciiTheme="majorBidi" w:eastAsia="Google Sans" w:hAnsiTheme="majorBidi" w:cstheme="majorBidi"/>
          <w:color w:val="1F1F1F"/>
        </w:rPr>
        <w:t>9. Summary for Leadership</w:t>
      </w:r>
    </w:p>
    <w:p w14:paraId="00000039" w14:textId="77777777" w:rsidR="00DD7E1C" w:rsidRPr="002876C0" w:rsidRDefault="00000000">
      <w:pPr>
        <w:pBdr>
          <w:top w:val="nil"/>
          <w:left w:val="nil"/>
          <w:bottom w:val="nil"/>
          <w:right w:val="nil"/>
          <w:between w:val="nil"/>
        </w:pBdr>
        <w:spacing w:after="240" w:line="275" w:lineRule="auto"/>
        <w:rPr>
          <w:rFonts w:asciiTheme="majorBidi" w:eastAsia="Google Sans" w:hAnsiTheme="majorBidi" w:cstheme="majorBidi"/>
          <w:i/>
          <w:iCs/>
          <w:color w:val="1F1F1F"/>
        </w:rPr>
      </w:pPr>
      <w:r w:rsidRPr="002876C0">
        <w:rPr>
          <w:rFonts w:asciiTheme="majorBidi" w:eastAsia="Google Sans" w:hAnsiTheme="majorBidi" w:cstheme="majorBidi"/>
          <w:i/>
          <w:iCs/>
          <w:color w:val="1F1F1F"/>
        </w:rPr>
        <w:t>Provide a concise executive summary (5–7 sentences).</w:t>
      </w:r>
    </w:p>
    <w:p w14:paraId="0000003A" w14:textId="77777777" w:rsidR="00DD7E1C" w:rsidRPr="002876C0" w:rsidRDefault="00000000">
      <w:pPr>
        <w:pBdr>
          <w:top w:val="nil"/>
          <w:left w:val="nil"/>
          <w:bottom w:val="nil"/>
          <w:right w:val="nil"/>
          <w:between w:val="nil"/>
        </w:pBdr>
        <w:spacing w:after="240" w:line="275" w:lineRule="auto"/>
        <w:rPr>
          <w:rFonts w:asciiTheme="majorBidi" w:eastAsia="Google Sans" w:hAnsiTheme="majorBidi" w:cstheme="majorBidi"/>
          <w:b/>
          <w:bCs/>
          <w:color w:val="1F1F1F"/>
        </w:rPr>
      </w:pPr>
      <w:r w:rsidRPr="002876C0">
        <w:rPr>
          <w:rFonts w:asciiTheme="majorBidi" w:eastAsia="Google Sans" w:hAnsiTheme="majorBidi" w:cstheme="majorBidi"/>
          <w:b/>
          <w:bCs/>
          <w:color w:val="1F1F1F"/>
        </w:rPr>
        <w:t>Executive Summary:</w:t>
      </w:r>
    </w:p>
    <w:p w14:paraId="0000003B" w14:textId="77777777" w:rsidR="00DD7E1C" w:rsidRPr="002876C0" w:rsidRDefault="00000000">
      <w:pPr>
        <w:pBdr>
          <w:top w:val="nil"/>
          <w:left w:val="nil"/>
          <w:bottom w:val="nil"/>
          <w:right w:val="nil"/>
          <w:between w:val="nil"/>
        </w:pBdr>
        <w:spacing w:after="240" w:line="275" w:lineRule="auto"/>
        <w:ind w:left="480" w:right="600"/>
        <w:rPr>
          <w:rFonts w:asciiTheme="majorBidi" w:eastAsia="Google Sans" w:hAnsiTheme="majorBidi" w:cstheme="majorBidi"/>
          <w:color w:val="1F1F1F"/>
        </w:rPr>
      </w:pPr>
      <w:r w:rsidRPr="002876C0">
        <w:rPr>
          <w:rFonts w:asciiTheme="majorBidi" w:hAnsiTheme="majorBidi" w:cstheme="majorBidi"/>
        </w:rPr>
        <w:t xml:space="preserve">The global EV market expanded substantially from 2010 to 2023, with 383.42M total EV sales in the analyzed dataset. EV </w:t>
      </w:r>
      <w:proofErr w:type="gramStart"/>
      <w:r w:rsidRPr="002876C0">
        <w:rPr>
          <w:rFonts w:asciiTheme="majorBidi" w:hAnsiTheme="majorBidi" w:cstheme="majorBidi"/>
        </w:rPr>
        <w:t>sales share</w:t>
      </w:r>
      <w:proofErr w:type="gramEnd"/>
      <w:r w:rsidRPr="002876C0">
        <w:rPr>
          <w:rFonts w:asciiTheme="majorBidi" w:hAnsiTheme="majorBidi" w:cstheme="majorBidi"/>
        </w:rPr>
        <w:t xml:space="preserve"> reached about 18% in 2023, indicating that EVs had become an important part of the new passenger-car market. BEVs are the dominant powertrain in the sales mix. EV sales are geographically concentrated, with China, the USA, Germany, France, and the United Kingdom leading the 2023 Top 5 view. These findings can support geographic prioritization and BEV-oriented market strategy. Confidence is high for descriptive historical trends but medium for forward-looking implications because the dataset ends in 2023 and contains no forecasts or causal variables.</w:t>
      </w:r>
    </w:p>
    <w:sectPr w:rsidR="00DD7E1C" w:rsidRPr="002876C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6A0733E-6BE5-4A38-A4CE-56A59C4733E7}"/>
  </w:font>
  <w:font w:name="Google Sans">
    <w:charset w:val="00"/>
    <w:family w:val="auto"/>
    <w:pitch w:val="default"/>
    <w:embedRegular r:id="rId2" w:fontKey="{16338232-F9F3-492A-A501-4E93B5E1BE4A}"/>
    <w:embedBold r:id="rId3" w:fontKey="{C7A5C910-9881-4D74-BE79-D8AE3C593E35}"/>
    <w:embedItalic r:id="rId4" w:fontKey="{B5794EE6-F128-4818-ADCF-A4C32702A943}"/>
  </w:font>
  <w:font w:name="Calibri">
    <w:panose1 w:val="020F0502020204030204"/>
    <w:charset w:val="00"/>
    <w:family w:val="swiss"/>
    <w:pitch w:val="variable"/>
    <w:sig w:usb0="E4002EFF" w:usb1="C000247B" w:usb2="00000009" w:usb3="00000000" w:csb0="000001FF" w:csb1="00000000"/>
    <w:embedRegular r:id="rId5" w:fontKey="{5E8F592B-16FE-4806-886E-24B40C4A2C46}"/>
  </w:font>
  <w:font w:name="Cambria">
    <w:panose1 w:val="02040503050406030204"/>
    <w:charset w:val="00"/>
    <w:family w:val="roman"/>
    <w:pitch w:val="variable"/>
    <w:sig w:usb0="E00006FF" w:usb1="420024FF" w:usb2="02000000" w:usb3="00000000" w:csb0="0000019F" w:csb1="00000000"/>
    <w:embedRegular r:id="rId6" w:fontKey="{5A41BF7B-0463-4274-BF81-8D9C915D22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411"/>
    <w:multiLevelType w:val="multilevel"/>
    <w:tmpl w:val="07AEF0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A26EB1"/>
    <w:multiLevelType w:val="multilevel"/>
    <w:tmpl w:val="801A04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BA56B0"/>
    <w:multiLevelType w:val="multilevel"/>
    <w:tmpl w:val="15967F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0441466"/>
    <w:multiLevelType w:val="multilevel"/>
    <w:tmpl w:val="7952DB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0B8714B"/>
    <w:multiLevelType w:val="multilevel"/>
    <w:tmpl w:val="3522B5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1416259"/>
    <w:multiLevelType w:val="multilevel"/>
    <w:tmpl w:val="7446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75418"/>
    <w:multiLevelType w:val="multilevel"/>
    <w:tmpl w:val="B69C36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F067F48"/>
    <w:multiLevelType w:val="multilevel"/>
    <w:tmpl w:val="A18C27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1F47993"/>
    <w:multiLevelType w:val="multilevel"/>
    <w:tmpl w:val="9C4E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F3596"/>
    <w:multiLevelType w:val="multilevel"/>
    <w:tmpl w:val="187CCD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8B056C0"/>
    <w:multiLevelType w:val="multilevel"/>
    <w:tmpl w:val="83D4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30F2B"/>
    <w:multiLevelType w:val="multilevel"/>
    <w:tmpl w:val="301E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E3533"/>
    <w:multiLevelType w:val="multilevel"/>
    <w:tmpl w:val="4C9C90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F225F50"/>
    <w:multiLevelType w:val="multilevel"/>
    <w:tmpl w:val="7690FA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E75179A"/>
    <w:multiLevelType w:val="multilevel"/>
    <w:tmpl w:val="4E487E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22916264">
    <w:abstractNumId w:val="2"/>
  </w:num>
  <w:num w:numId="2" w16cid:durableId="1671715606">
    <w:abstractNumId w:val="0"/>
  </w:num>
  <w:num w:numId="3" w16cid:durableId="1954089662">
    <w:abstractNumId w:val="14"/>
  </w:num>
  <w:num w:numId="4" w16cid:durableId="1308708237">
    <w:abstractNumId w:val="9"/>
  </w:num>
  <w:num w:numId="5" w16cid:durableId="1739548228">
    <w:abstractNumId w:val="12"/>
  </w:num>
  <w:num w:numId="6" w16cid:durableId="1638220023">
    <w:abstractNumId w:val="13"/>
  </w:num>
  <w:num w:numId="7" w16cid:durableId="816990850">
    <w:abstractNumId w:val="4"/>
  </w:num>
  <w:num w:numId="8" w16cid:durableId="533343884">
    <w:abstractNumId w:val="1"/>
  </w:num>
  <w:num w:numId="9" w16cid:durableId="1710765396">
    <w:abstractNumId w:val="3"/>
  </w:num>
  <w:num w:numId="10" w16cid:durableId="484468277">
    <w:abstractNumId w:val="6"/>
  </w:num>
  <w:num w:numId="11" w16cid:durableId="1730961644">
    <w:abstractNumId w:val="7"/>
  </w:num>
  <w:num w:numId="12" w16cid:durableId="534731625">
    <w:abstractNumId w:val="11"/>
  </w:num>
  <w:num w:numId="13" w16cid:durableId="1713339301">
    <w:abstractNumId w:val="5"/>
  </w:num>
  <w:num w:numId="14" w16cid:durableId="1553954495">
    <w:abstractNumId w:val="8"/>
  </w:num>
  <w:num w:numId="15" w16cid:durableId="15624041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E1C"/>
    <w:rsid w:val="001D0C0E"/>
    <w:rsid w:val="002876C0"/>
    <w:rsid w:val="007F3E54"/>
    <w:rsid w:val="009F1B7C"/>
    <w:rsid w:val="00BE4209"/>
    <w:rsid w:val="00DB0B3E"/>
    <w:rsid w:val="00DD7E1C"/>
    <w:rsid w:val="00F41C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D722"/>
  <w15:docId w15:val="{D70A6717-5973-4719-8206-9579F311E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1206</Words>
  <Characters>6879</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Rania Tr</cp:lastModifiedBy>
  <cp:revision>5</cp:revision>
  <dcterms:created xsi:type="dcterms:W3CDTF">2026-10-07T20:50:00Z</dcterms:created>
  <dcterms:modified xsi:type="dcterms:W3CDTF">2026-10-08T08:21:00Z</dcterms:modified>
</cp:coreProperties>
</file>