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Y62DB UI Developer Integration Package</w:t>
      </w:r>
    </w:p>
    <w:p>
      <w:pPr>
        <w:jc w:val="center"/>
      </w:pPr>
      <w:r>
        <w:rPr>
          <w:b/>
        </w:rPr>
        <w:t>Repository: rtrivgreg/aws-crud-rules-db</w:t>
      </w:r>
    </w:p>
    <w:p>
      <w:pPr>
        <w:jc w:val="center"/>
      </w:pPr>
      <w:r>
        <w:t>Developer handoff for a functional web UI consuming the existing REST/JSON API</w:t>
      </w:r>
    </w:p>
    <w:p>
      <w:r>
        <w:t>Purpose. This package gives a UI developer a stable, concrete interface to build against without requiring direct DynamoDB access or knowledge of DynamoDB key design. It reflects the current repository implementation and separates the existing contract from recommended presentation metadata that may be added later.</w:t>
      </w:r>
    </w:p>
    <w:p>
      <w:pPr>
        <w:pStyle w:val="Heading1"/>
      </w:pPr>
      <w:r>
        <w:t>1. Executive Summary</w:t>
      </w:r>
    </w:p>
    <w:p>
      <w:pPr>
        <w:pStyle w:val="ListBullet"/>
      </w:pPr>
      <w:r>
        <w:t>The UI should consume the REST API, not access DynamoDB directly.</w:t>
      </w:r>
    </w:p>
    <w:p>
      <w:pPr>
        <w:pStyle w:val="ListBullet"/>
      </w:pPr>
      <w:r>
        <w:t>The existing binding CRUD contract is structurally sound and already hides DynamoDB internals.</w:t>
      </w:r>
    </w:p>
    <w:p>
      <w:pPr>
        <w:pStyle w:val="ListBullet"/>
      </w:pPr>
      <w:r>
        <w:t>Organization/group and binding identity are first-class parts of the resource path.</w:t>
      </w:r>
    </w:p>
    <w:p>
      <w:pPr>
        <w:pStyle w:val="ListBullet"/>
      </w:pPr>
      <w:r>
        <w:t>Binding payloads are intentionally open-ended JSON; only common fields such as status and version are enforced at the API boundary.</w:t>
      </w:r>
    </w:p>
    <w:p>
      <w:pPr>
        <w:pStyle w:val="ListBullet"/>
      </w:pPr>
      <w:r>
        <w:t>PUT uses optimistic locking through expected_version and returns HTTP 409 when another editor has changed the record.</w:t>
      </w:r>
    </w:p>
    <w:p>
      <w:pPr>
        <w:pStyle w:val="ListBullet"/>
      </w:pPr>
      <w:r>
        <w:t>The one area to evaluate before declaring the entire contract frozen is catalog metadata for richer controls such as sliders, enumerations, or constraint-driven widgets.</w:t>
      </w:r>
    </w:p>
    <w:p>
      <w:pPr>
        <w:pStyle w:val="ListBullet"/>
      </w:pPr>
      <w:r>
        <w:t>For a first delivery, a plain tables-and-forms UI is fully appropriate. Rich presentation can be layered on later if the API returns enough metadata.</w:t>
      </w:r>
    </w:p>
    <w:p>
      <w:pPr>
        <w:pStyle w:val="Heading1"/>
      </w:pPr>
      <w:r>
        <w:t>2. Architecture Boundary</w:t>
      </w:r>
    </w:p>
    <w:p>
      <w:r>
        <w:t>The intended runtime path is:</w:t>
      </w:r>
    </w:p>
    <w:p>
      <w:pPr>
        <w:pStyle w:val="CodeBlock"/>
        <w:spacing w:before="80" w:after="160"/>
      </w:pPr>
      <w:r>
        <w:rPr>
          <w:rFonts w:ascii="Courier New" w:hAnsi="Courier New"/>
          <w:sz w:val="17"/>
        </w:rPr>
        <w:t>Browser / Web UI  -&gt;  REST/JSON API Gateway  -&gt;  Lambda CRUD API  -&gt;  DynamoDB</w:t>
      </w:r>
    </w:p>
    <w:p>
      <w:r>
        <w:t>The API is the stable seam. The UI does not need to know or reproduce DynamoDB's pk/sk/gsi key construction. The API converts stored items into clean resource representations such as rule_id, group, binding, payload, created_at, and updated_at.</w:t>
      </w:r>
    </w:p>
    <w:p>
      <w:pPr>
        <w:pStyle w:val="Heading1"/>
      </w:pPr>
      <w:r>
        <w:t>3. Current HTTP Contract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Mar>
              <w:top w:w="80" w:type="dxa"/>
              <w:start w:w="80" w:type="dxa"/>
              <w:bottom w:w="80" w:type="dxa"/>
              <w:end w:w="80" w:type="dxa"/>
            </w:tcMar>
          </w:tcPr>
          <w:p>
            <w:r>
              <w:t>UI Intent</w:t>
            </w:r>
          </w:p>
        </w:tc>
        <w:tc>
          <w:tcPr>
            <w:tcW w:type="dxa" w:w="2592"/>
            <w:shd w:fill="D9EAF7"/>
            <w:vAlign w:val="center"/>
            <w:tcMar>
              <w:top w:w="80" w:type="dxa"/>
              <w:start w:w="80" w:type="dxa"/>
              <w:bottom w:w="80" w:type="dxa"/>
              <w:end w:w="80" w:type="dxa"/>
            </w:tcMar>
          </w:tcPr>
          <w:p>
            <w:r>
              <w:t>Verb</w:t>
            </w:r>
          </w:p>
        </w:tc>
        <w:tc>
          <w:tcPr>
            <w:tcW w:type="dxa" w:w="2592"/>
            <w:shd w:fill="D9EAF7"/>
            <w:vAlign w:val="center"/>
            <w:tcMar>
              <w:top w:w="80" w:type="dxa"/>
              <w:start w:w="80" w:type="dxa"/>
              <w:bottom w:w="80" w:type="dxa"/>
              <w:end w:w="80" w:type="dxa"/>
            </w:tcMar>
          </w:tcPr>
          <w:p>
            <w:r>
              <w:t>Path</w:t>
            </w:r>
          </w:p>
        </w:tc>
        <w:tc>
          <w:tcPr>
            <w:tcW w:type="dxa" w:w="2592"/>
            <w:shd w:fill="D9EAF7"/>
            <w:vAlign w:val="center"/>
            <w:tcMar>
              <w:top w:w="80" w:type="dxa"/>
              <w:start w:w="80" w:type="dxa"/>
              <w:bottom w:w="80" w:type="dxa"/>
              <w:end w:w="80" w:type="dxa"/>
            </w:tcMar>
          </w:tcPr>
          <w:p>
            <w:r>
              <w:t>What the UI Can Rely On</w:t>
            </w:r>
          </w:p>
        </w:tc>
      </w:tr>
      <w:tr>
        <w:tc>
          <w:tcPr>
            <w:tcW w:type="dxa" w:w="2592"/>
            <w:tcMar>
              <w:top w:w="80" w:type="dxa"/>
              <w:start w:w="80" w:type="dxa"/>
              <w:bottom w:w="80" w:type="dxa"/>
              <w:end w:w="80" w:type="dxa"/>
            </w:tcMar>
          </w:tcPr>
          <w:p>
            <w:r>
              <w:t>Read rule list</w:t>
            </w:r>
          </w:p>
        </w:tc>
        <w:tc>
          <w:tcPr>
            <w:tcW w:type="dxa" w:w="2592"/>
            <w:tcMar>
              <w:top w:w="80" w:type="dxa"/>
              <w:start w:w="80" w:type="dxa"/>
              <w:bottom w:w="80" w:type="dxa"/>
              <w:end w:w="80" w:type="dxa"/>
            </w:tcMar>
          </w:tcPr>
          <w:p>
            <w:r>
              <w:t>GET</w:t>
            </w:r>
          </w:p>
        </w:tc>
        <w:tc>
          <w:tcPr>
            <w:tcW w:type="dxa" w:w="2592"/>
            <w:tcMar>
              <w:top w:w="80" w:type="dxa"/>
              <w:start w:w="80" w:type="dxa"/>
              <w:bottom w:w="80" w:type="dxa"/>
              <w:end w:w="80" w:type="dxa"/>
            </w:tcMar>
          </w:tcPr>
          <w:p>
            <w:r>
              <w:t>/rules</w:t>
            </w:r>
          </w:p>
        </w:tc>
        <w:tc>
          <w:tcPr>
            <w:tcW w:type="dxa" w:w="2592"/>
            <w:tcMar>
              <w:top w:w="80" w:type="dxa"/>
              <w:start w:w="80" w:type="dxa"/>
              <w:bottom w:w="80" w:type="dxa"/>
              <w:end w:w="80" w:type="dxa"/>
            </w:tcMar>
          </w:tcPr>
          <w:p>
            <w:r>
              <w:t>Returns every catalog/bound rule with has_binding</w:t>
            </w:r>
          </w:p>
        </w:tc>
      </w:tr>
      <w:tr>
        <w:tc>
          <w:tcPr>
            <w:tcW w:type="dxa" w:w="2592"/>
            <w:tcMar>
              <w:top w:w="80" w:type="dxa"/>
              <w:start w:w="80" w:type="dxa"/>
              <w:bottom w:w="80" w:type="dxa"/>
              <w:end w:w="80" w:type="dxa"/>
            </w:tcMar>
          </w:tcPr>
          <w:p>
            <w:r>
              <w:t>Read group list</w:t>
            </w:r>
          </w:p>
        </w:tc>
        <w:tc>
          <w:tcPr>
            <w:tcW w:type="dxa" w:w="2592"/>
            <w:tcMar>
              <w:top w:w="80" w:type="dxa"/>
              <w:start w:w="80" w:type="dxa"/>
              <w:bottom w:w="80" w:type="dxa"/>
              <w:end w:w="80" w:type="dxa"/>
            </w:tcMar>
          </w:tcPr>
          <w:p>
            <w:r>
              <w:t>GET</w:t>
            </w:r>
          </w:p>
        </w:tc>
        <w:tc>
          <w:tcPr>
            <w:tcW w:type="dxa" w:w="2592"/>
            <w:tcMar>
              <w:top w:w="80" w:type="dxa"/>
              <w:start w:w="80" w:type="dxa"/>
              <w:bottom w:w="80" w:type="dxa"/>
              <w:end w:w="80" w:type="dxa"/>
            </w:tcMar>
          </w:tcPr>
          <w:p>
            <w:r>
              <w:t>/groups</w:t>
            </w:r>
          </w:p>
        </w:tc>
        <w:tc>
          <w:tcPr>
            <w:tcW w:type="dxa" w:w="2592"/>
            <w:tcMar>
              <w:top w:w="80" w:type="dxa"/>
              <w:start w:w="80" w:type="dxa"/>
              <w:bottom w:w="80" w:type="dxa"/>
              <w:end w:w="80" w:type="dxa"/>
            </w:tcMar>
          </w:tcPr>
          <w:p>
            <w:r>
              <w:t>Returns every group that currently has at least one binding</w:t>
            </w:r>
          </w:p>
        </w:tc>
      </w:tr>
      <w:tr>
        <w:tc>
          <w:tcPr>
            <w:tcW w:type="dxa" w:w="2592"/>
            <w:tcMar>
              <w:top w:w="80" w:type="dxa"/>
              <w:start w:w="80" w:type="dxa"/>
              <w:bottom w:w="80" w:type="dxa"/>
              <w:end w:w="80" w:type="dxa"/>
            </w:tcMar>
          </w:tcPr>
          <w:p>
            <w:r>
              <w:t>Read rule catalog</w:t>
            </w:r>
          </w:p>
        </w:tc>
        <w:tc>
          <w:tcPr>
            <w:tcW w:type="dxa" w:w="2592"/>
            <w:tcMar>
              <w:top w:w="80" w:type="dxa"/>
              <w:start w:w="80" w:type="dxa"/>
              <w:bottom w:w="80" w:type="dxa"/>
              <w:end w:w="80" w:type="dxa"/>
            </w:tcMar>
          </w:tcPr>
          <w:p>
            <w:r>
              <w:t>GET</w:t>
            </w:r>
          </w:p>
        </w:tc>
        <w:tc>
          <w:tcPr>
            <w:tcW w:type="dxa" w:w="2592"/>
            <w:tcMar>
              <w:top w:w="80" w:type="dxa"/>
              <w:start w:w="80" w:type="dxa"/>
              <w:bottom w:w="80" w:type="dxa"/>
              <w:end w:w="80" w:type="dxa"/>
            </w:tcMar>
          </w:tcPr>
          <w:p>
            <w:r>
              <w:t>/rules/{ruleId}/catalog</w:t>
            </w:r>
          </w:p>
        </w:tc>
        <w:tc>
          <w:tcPr>
            <w:tcW w:type="dxa" w:w="2592"/>
            <w:tcMar>
              <w:top w:w="80" w:type="dxa"/>
              <w:start w:w="80" w:type="dxa"/>
              <w:bottom w:w="80" w:type="dxa"/>
              <w:end w:w="80" w:type="dxa"/>
            </w:tcMar>
          </w:tcPr>
          <w:p>
            <w:r>
              <w:t>Description, severity, scopes, managed_rule, parameter definitions</w:t>
            </w:r>
          </w:p>
        </w:tc>
      </w:tr>
      <w:tr>
        <w:tc>
          <w:tcPr>
            <w:tcW w:type="dxa" w:w="2592"/>
            <w:tcMar>
              <w:top w:w="80" w:type="dxa"/>
              <w:start w:w="80" w:type="dxa"/>
              <w:bottom w:w="80" w:type="dxa"/>
              <w:end w:w="80" w:type="dxa"/>
            </w:tcMar>
          </w:tcPr>
          <w:p>
            <w:r>
              <w:t>List bindings by rule</w:t>
            </w:r>
          </w:p>
        </w:tc>
        <w:tc>
          <w:tcPr>
            <w:tcW w:type="dxa" w:w="2592"/>
            <w:tcMar>
              <w:top w:w="80" w:type="dxa"/>
              <w:start w:w="80" w:type="dxa"/>
              <w:bottom w:w="80" w:type="dxa"/>
              <w:end w:w="80" w:type="dxa"/>
            </w:tcMar>
          </w:tcPr>
          <w:p>
            <w:r>
              <w:t>GET</w:t>
            </w:r>
          </w:p>
        </w:tc>
        <w:tc>
          <w:tcPr>
            <w:tcW w:type="dxa" w:w="2592"/>
            <w:tcMar>
              <w:top w:w="80" w:type="dxa"/>
              <w:start w:w="80" w:type="dxa"/>
              <w:bottom w:w="80" w:type="dxa"/>
              <w:end w:w="80" w:type="dxa"/>
            </w:tcMar>
          </w:tcPr>
          <w:p>
            <w:r>
              <w:t>/rules/{ruleId}/bindings</w:t>
            </w:r>
          </w:p>
        </w:tc>
        <w:tc>
          <w:tcPr>
            <w:tcW w:type="dxa" w:w="2592"/>
            <w:tcMar>
              <w:top w:w="80" w:type="dxa"/>
              <w:start w:w="80" w:type="dxa"/>
              <w:bottom w:w="80" w:type="dxa"/>
              <w:end w:w="80" w:type="dxa"/>
            </w:tcMar>
          </w:tcPr>
          <w:p>
            <w:r>
              <w:t>All group/binding records for one rule; paginated</w:t>
            </w:r>
          </w:p>
        </w:tc>
      </w:tr>
      <w:tr>
        <w:tc>
          <w:tcPr>
            <w:tcW w:type="dxa" w:w="2592"/>
            <w:tcMar>
              <w:top w:w="80" w:type="dxa"/>
              <w:start w:w="80" w:type="dxa"/>
              <w:bottom w:w="80" w:type="dxa"/>
              <w:end w:w="80" w:type="dxa"/>
            </w:tcMar>
          </w:tcPr>
          <w:p>
            <w:r>
              <w:t>List bindings by group</w:t>
            </w:r>
          </w:p>
        </w:tc>
        <w:tc>
          <w:tcPr>
            <w:tcW w:type="dxa" w:w="2592"/>
            <w:tcMar>
              <w:top w:w="80" w:type="dxa"/>
              <w:start w:w="80" w:type="dxa"/>
              <w:bottom w:w="80" w:type="dxa"/>
              <w:end w:w="80" w:type="dxa"/>
            </w:tcMar>
          </w:tcPr>
          <w:p>
            <w:r>
              <w:t>GET</w:t>
            </w:r>
          </w:p>
        </w:tc>
        <w:tc>
          <w:tcPr>
            <w:tcW w:type="dxa" w:w="2592"/>
            <w:tcMar>
              <w:top w:w="80" w:type="dxa"/>
              <w:start w:w="80" w:type="dxa"/>
              <w:bottom w:w="80" w:type="dxa"/>
              <w:end w:w="80" w:type="dxa"/>
            </w:tcMar>
          </w:tcPr>
          <w:p>
            <w:r>
              <w:t>/groups/{group}/bindings</w:t>
            </w:r>
          </w:p>
        </w:tc>
        <w:tc>
          <w:tcPr>
            <w:tcW w:type="dxa" w:w="2592"/>
            <w:tcMar>
              <w:top w:w="80" w:type="dxa"/>
              <w:start w:w="80" w:type="dxa"/>
              <w:bottom w:w="80" w:type="dxa"/>
              <w:end w:w="80" w:type="dxa"/>
            </w:tcMar>
          </w:tcPr>
          <w:p>
            <w:r>
              <w:t>All rule bindings for one group; paginated</w:t>
            </w:r>
          </w:p>
        </w:tc>
      </w:tr>
      <w:tr>
        <w:tc>
          <w:tcPr>
            <w:tcW w:type="dxa" w:w="2592"/>
            <w:tcMar>
              <w:top w:w="80" w:type="dxa"/>
              <w:start w:w="80" w:type="dxa"/>
              <w:bottom w:w="80" w:type="dxa"/>
              <w:end w:w="80" w:type="dxa"/>
            </w:tcMar>
          </w:tcPr>
          <w:p>
            <w:r>
              <w:t>Read one binding</w:t>
            </w:r>
          </w:p>
        </w:tc>
        <w:tc>
          <w:tcPr>
            <w:tcW w:type="dxa" w:w="2592"/>
            <w:tcMar>
              <w:top w:w="80" w:type="dxa"/>
              <w:start w:w="80" w:type="dxa"/>
              <w:bottom w:w="80" w:type="dxa"/>
              <w:end w:w="80" w:type="dxa"/>
            </w:tcMar>
          </w:tcPr>
          <w:p>
            <w:r>
              <w:t>GET</w:t>
            </w:r>
          </w:p>
        </w:tc>
        <w:tc>
          <w:tcPr>
            <w:tcW w:type="dxa" w:w="2592"/>
            <w:tcMar>
              <w:top w:w="80" w:type="dxa"/>
              <w:start w:w="80" w:type="dxa"/>
              <w:bottom w:w="80" w:type="dxa"/>
              <w:end w:w="80" w:type="dxa"/>
            </w:tcMar>
          </w:tcPr>
          <w:p>
            <w:r>
              <w:t>/rules/{ruleId}/bindings/{group}/{binding}</w:t>
            </w:r>
          </w:p>
        </w:tc>
        <w:tc>
          <w:tcPr>
            <w:tcW w:type="dxa" w:w="2592"/>
            <w:tcMar>
              <w:top w:w="80" w:type="dxa"/>
              <w:start w:w="80" w:type="dxa"/>
              <w:bottom w:w="80" w:type="dxa"/>
              <w:end w:w="80" w:type="dxa"/>
            </w:tcMar>
          </w:tcPr>
          <w:p>
            <w:r>
              <w:t>Returns one clean binding resource</w:t>
            </w:r>
          </w:p>
        </w:tc>
      </w:tr>
      <w:tr>
        <w:tc>
          <w:tcPr>
            <w:tcW w:type="dxa" w:w="2592"/>
            <w:tcMar>
              <w:top w:w="80" w:type="dxa"/>
              <w:start w:w="80" w:type="dxa"/>
              <w:bottom w:w="80" w:type="dxa"/>
              <w:end w:w="80" w:type="dxa"/>
            </w:tcMar>
          </w:tcPr>
          <w:p>
            <w:r>
              <w:t>Create binding</w:t>
            </w:r>
          </w:p>
        </w:tc>
        <w:tc>
          <w:tcPr>
            <w:tcW w:type="dxa" w:w="2592"/>
            <w:tcMar>
              <w:top w:w="80" w:type="dxa"/>
              <w:start w:w="80" w:type="dxa"/>
              <w:bottom w:w="80" w:type="dxa"/>
              <w:end w:w="80" w:type="dxa"/>
            </w:tcMar>
          </w:tcPr>
          <w:p>
            <w:r>
              <w:t>POST</w:t>
            </w:r>
          </w:p>
        </w:tc>
        <w:tc>
          <w:tcPr>
            <w:tcW w:type="dxa" w:w="2592"/>
            <w:tcMar>
              <w:top w:w="80" w:type="dxa"/>
              <w:start w:w="80" w:type="dxa"/>
              <w:bottom w:w="80" w:type="dxa"/>
              <w:end w:w="80" w:type="dxa"/>
            </w:tcMar>
          </w:tcPr>
          <w:p>
            <w:r>
              <w:t>/rules/{ruleId}/bindings</w:t>
            </w:r>
          </w:p>
        </w:tc>
        <w:tc>
          <w:tcPr>
            <w:tcW w:type="dxa" w:w="2592"/>
            <w:tcMar>
              <w:top w:w="80" w:type="dxa"/>
              <w:start w:w="80" w:type="dxa"/>
              <w:bottom w:w="80" w:type="dxa"/>
              <w:end w:w="80" w:type="dxa"/>
            </w:tcMar>
          </w:tcPr>
          <w:p>
            <w:r>
              <w:t>Creates a binding; binding defaults to default if omitted</w:t>
            </w:r>
          </w:p>
        </w:tc>
      </w:tr>
      <w:tr>
        <w:tc>
          <w:tcPr>
            <w:tcW w:type="dxa" w:w="2592"/>
            <w:tcMar>
              <w:top w:w="80" w:type="dxa"/>
              <w:start w:w="80" w:type="dxa"/>
              <w:bottom w:w="80" w:type="dxa"/>
              <w:end w:w="80" w:type="dxa"/>
            </w:tcMar>
          </w:tcPr>
          <w:p>
            <w:r>
              <w:t>Replace binding payload</w:t>
            </w:r>
          </w:p>
        </w:tc>
        <w:tc>
          <w:tcPr>
            <w:tcW w:type="dxa" w:w="2592"/>
            <w:tcMar>
              <w:top w:w="80" w:type="dxa"/>
              <w:start w:w="80" w:type="dxa"/>
              <w:bottom w:w="80" w:type="dxa"/>
              <w:end w:w="80" w:type="dxa"/>
            </w:tcMar>
          </w:tcPr>
          <w:p>
            <w:r>
              <w:t>PUT</w:t>
            </w:r>
          </w:p>
        </w:tc>
        <w:tc>
          <w:tcPr>
            <w:tcW w:type="dxa" w:w="2592"/>
            <w:tcMar>
              <w:top w:w="80" w:type="dxa"/>
              <w:start w:w="80" w:type="dxa"/>
              <w:bottom w:w="80" w:type="dxa"/>
              <w:end w:w="80" w:type="dxa"/>
            </w:tcMar>
          </w:tcPr>
          <w:p>
            <w:r>
              <w:t>/rules/{ruleId}/bindings/{group}/{binding}</w:t>
            </w:r>
          </w:p>
        </w:tc>
        <w:tc>
          <w:tcPr>
            <w:tcW w:type="dxa" w:w="2592"/>
            <w:tcMar>
              <w:top w:w="80" w:type="dxa"/>
              <w:start w:w="80" w:type="dxa"/>
              <w:bottom w:w="80" w:type="dxa"/>
              <w:end w:w="80" w:type="dxa"/>
            </w:tcMar>
          </w:tcPr>
          <w:p>
            <w:r>
              <w:t>Full payload replacement with optimistic locking</w:t>
            </w:r>
          </w:p>
        </w:tc>
      </w:tr>
      <w:tr>
        <w:tc>
          <w:tcPr>
            <w:tcW w:type="dxa" w:w="2592"/>
            <w:tcMar>
              <w:top w:w="80" w:type="dxa"/>
              <w:start w:w="80" w:type="dxa"/>
              <w:bottom w:w="80" w:type="dxa"/>
              <w:end w:w="80" w:type="dxa"/>
            </w:tcMar>
          </w:tcPr>
          <w:p>
            <w:r>
              <w:t>Delete binding</w:t>
            </w:r>
          </w:p>
        </w:tc>
        <w:tc>
          <w:tcPr>
            <w:tcW w:type="dxa" w:w="2592"/>
            <w:tcMar>
              <w:top w:w="80" w:type="dxa"/>
              <w:start w:w="80" w:type="dxa"/>
              <w:bottom w:w="80" w:type="dxa"/>
              <w:end w:w="80" w:type="dxa"/>
            </w:tcMar>
          </w:tcPr>
          <w:p>
            <w:r>
              <w:t>DELETE</w:t>
            </w:r>
          </w:p>
        </w:tc>
        <w:tc>
          <w:tcPr>
            <w:tcW w:type="dxa" w:w="2592"/>
            <w:tcMar>
              <w:top w:w="80" w:type="dxa"/>
              <w:start w:w="80" w:type="dxa"/>
              <w:bottom w:w="80" w:type="dxa"/>
              <w:end w:w="80" w:type="dxa"/>
            </w:tcMar>
          </w:tcPr>
          <w:p>
            <w:r>
              <w:t>/rules/{ruleId}/bindings/{group}/{binding}</w:t>
            </w:r>
          </w:p>
        </w:tc>
        <w:tc>
          <w:tcPr>
            <w:tcW w:type="dxa" w:w="2592"/>
            <w:tcMar>
              <w:top w:w="80" w:type="dxa"/>
              <w:start w:w="80" w:type="dxa"/>
              <w:bottom w:w="80" w:type="dxa"/>
              <w:end w:w="80" w:type="dxa"/>
            </w:tcMar>
          </w:tcPr>
          <w:p>
            <w:r>
              <w:t>Removes the binding; 204 on success</w:t>
            </w:r>
          </w:p>
        </w:tc>
      </w:tr>
    </w:tbl>
    <w:p>
      <w:pPr>
        <w:pStyle w:val="Heading1"/>
      </w:pPr>
      <w:r>
        <w:t>4. Standard Response Envelope</w:t>
      </w:r>
    </w:p>
    <w:p>
      <w:r>
        <w:t>Every non-204 success and every handled error uses the same JSON envelope:</w:t>
      </w:r>
    </w:p>
    <w:p>
      <w:pPr>
        <w:pStyle w:val="CodeBlock"/>
        <w:spacing w:before="80" w:after="160"/>
      </w:pPr>
      <w:r>
        <w:rPr>
          <w:rFonts w:ascii="Courier New" w:hAnsi="Courier New"/>
          <w:sz w:val="17"/>
        </w:rPr>
        <w:t>{</w:t>
        <w:br/>
        <w:t xml:space="preserve">  "success": true,</w:t>
        <w:br/>
        <w:t xml:space="preserve">  "data": {},</w:t>
        <w:br/>
        <w:t xml:space="preserve">  "error": null,</w:t>
        <w:br/>
        <w:t xml:space="preserve">  "meta": {</w:t>
        <w:br/>
        <w:t xml:space="preserve">    "request_id": "generated-or-AWS-request-id",</w:t>
        <w:br/>
        <w:t xml:space="preserve">    "timestamp": "UTC ISO-8601 timestamp"</w:t>
        <w:br/>
        <w:t xml:space="preserve">  }</w:t>
        <w:br/>
        <w:t>}</w:t>
      </w:r>
    </w:p>
    <w:p>
      <w:r>
        <w:t>For list endpoints, meta may additionally include count and next_cursor. HTTP 204 returns no body.</w:t>
      </w:r>
    </w:p>
    <w:p>
      <w:pPr>
        <w:pStyle w:val="Heading1"/>
      </w:pPr>
      <w:r>
        <w:t>5. Binding Resource Shape</w:t>
      </w:r>
    </w:p>
    <w:p>
      <w:pPr>
        <w:pStyle w:val="CodeBlock"/>
        <w:spacing w:before="80" w:after="160"/>
      </w:pPr>
      <w:r>
        <w:rPr>
          <w:rFonts w:ascii="Courier New" w:hAnsi="Courier New"/>
          <w:sz w:val="17"/>
        </w:rPr>
        <w:t>{</w:t>
        <w:br/>
        <w:t xml:space="preserve">  "rule_id": "access-keys-rotated",</w:t>
        <w:br/>
        <w:t xml:space="preserve">  "group": "corp",</w:t>
        <w:br/>
        <w:t xml:space="preserve">  "binding": "default",</w:t>
        <w:br/>
        <w:t xml:space="preserve">  "payload": {</w:t>
        <w:br/>
        <w:t xml:space="preserve">    "status": "ACTIVE",</w:t>
        <w:br/>
        <w:t xml:space="preserve">    "version": 1,</w:t>
        <w:br/>
        <w:t xml:space="preserve">    "maxAccessKeyAge": 60</w:t>
        <w:br/>
        <w:t xml:space="preserve">  },</w:t>
        <w:br/>
        <w:t xml:space="preserve">  "created_at": "2026-09-09T18:00:00+00:00",</w:t>
        <w:br/>
        <w:t xml:space="preserve">  "updated_at": "2026-09-09T18:00:00+00:00"</w:t>
        <w:br/>
        <w:t>}</w:t>
      </w:r>
    </w:p>
    <w:p>
      <w:r>
        <w:t>Important: payload is intentionally open-ended. The API currently enforces payload.status as ACTIVE or INACTIVE and requires payload.version to be numeric, but rule-specific fields can vary by rule. This is deliberate and gives the organization/binding model room to carry richer rule-specific values without changing the endpoint structure.</w:t>
      </w:r>
    </w:p>
    <w:p>
      <w:pPr>
        <w:pStyle w:val="Heading1"/>
      </w:pPr>
      <w:r>
        <w:t>6. CRUD Examples</w:t>
      </w:r>
    </w:p>
    <w:p>
      <w:pPr>
        <w:pStyle w:val="Heading2"/>
      </w:pPr>
      <w:r>
        <w:t>6.1 Read One Binding</w:t>
      </w:r>
    </w:p>
    <w:p>
      <w:pPr>
        <w:pStyle w:val="CodeBlock"/>
        <w:spacing w:before="80" w:after="160"/>
      </w:pPr>
      <w:r>
        <w:rPr>
          <w:rFonts w:ascii="Courier New" w:hAnsi="Courier New"/>
          <w:sz w:val="17"/>
        </w:rPr>
        <w:t>GET /rules/access-keys-rotated/bindings/corp/default</w:t>
      </w:r>
    </w:p>
    <w:p>
      <w:pPr>
        <w:pStyle w:val="CodeBlock"/>
        <w:spacing w:before="80" w:after="160"/>
      </w:pPr>
      <w:r>
        <w:rPr>
          <w:rFonts w:ascii="Courier New" w:hAnsi="Courier New"/>
          <w:sz w:val="17"/>
        </w:rPr>
        <w:t>{</w:t>
        <w:br/>
        <w:t xml:space="preserve">  "success": true,</w:t>
        <w:br/>
        <w:t xml:space="preserve">  "data": {</w:t>
        <w:br/>
        <w:t xml:space="preserve">    "rule_id": "access-keys-rotated",</w:t>
        <w:br/>
        <w:t xml:space="preserve">    "group": "corp",</w:t>
        <w:br/>
        <w:t xml:space="preserve">    "binding": "default",</w:t>
        <w:br/>
        <w:t xml:space="preserve">    "payload": {</w:t>
        <w:br/>
        <w:t xml:space="preserve">      "status": "ACTIVE",</w:t>
        <w:br/>
        <w:t xml:space="preserve">      "version": 1,</w:t>
        <w:br/>
        <w:t xml:space="preserve">      "maxAccessKeyAge": 60</w:t>
        <w:br/>
        <w:t xml:space="preserve">    },</w:t>
        <w:br/>
        <w:t xml:space="preserve">    "created_at": "2026-09-09T18:00:00+00:00",</w:t>
        <w:br/>
        <w:t xml:space="preserve">    "updated_at": "2026-09-09T18:00:00+00:00"</w:t>
        <w:br/>
        <w:t xml:space="preserve">  },</w:t>
        <w:br/>
        <w:t xml:space="preserve">  "error": null,</w:t>
        <w:br/>
        <w:t xml:space="preserve">  "meta": {</w:t>
        <w:br/>
        <w:t xml:space="preserve">    "request_id": "example-request-id",</w:t>
        <w:br/>
        <w:t xml:space="preserve">    "timestamp": "2026-09-09T18:00:01+00:00"</w:t>
        <w:br/>
        <w:t xml:space="preserve">  }</w:t>
        <w:br/>
        <w:t>}</w:t>
      </w:r>
    </w:p>
    <w:p>
      <w:pPr>
        <w:pStyle w:val="Heading2"/>
      </w:pPr>
      <w:r>
        <w:t>6.2 Create Binding</w:t>
      </w:r>
    </w:p>
    <w:p>
      <w:pPr>
        <w:pStyle w:val="CodeBlock"/>
        <w:spacing w:before="80" w:after="160"/>
      </w:pPr>
      <w:r>
        <w:rPr>
          <w:rFonts w:ascii="Courier New" w:hAnsi="Courier New"/>
          <w:sz w:val="17"/>
        </w:rPr>
        <w:t>POST /rules/access-keys-rotated/bindings</w:t>
      </w:r>
    </w:p>
    <w:p>
      <w:pPr>
        <w:pStyle w:val="CodeBlock"/>
        <w:spacing w:before="80" w:after="160"/>
      </w:pPr>
      <w:r>
        <w:rPr>
          <w:rFonts w:ascii="Courier New" w:hAnsi="Courier New"/>
          <w:sz w:val="17"/>
        </w:rPr>
        <w:t>{</w:t>
        <w:br/>
        <w:t xml:space="preserve">  "group": "corp",</w:t>
        <w:br/>
        <w:t xml:space="preserve">  "binding": "default",</w:t>
        <w:br/>
        <w:t xml:space="preserve">  "payload": {</w:t>
        <w:br/>
        <w:t xml:space="preserve">    "status": "ACTIVE",</w:t>
        <w:br/>
        <w:t xml:space="preserve">    "version": 1,</w:t>
        <w:br/>
        <w:t xml:space="preserve">    "maxAccessKeyAge": 60</w:t>
        <w:br/>
        <w:t xml:space="preserve">  }</w:t>
        <w:br/>
        <w:t>}</w:t>
      </w:r>
    </w:p>
    <w:p>
      <w:r>
        <w:t>Expected success: HTTP 201 with the created binding resource in data.</w:t>
      </w:r>
    </w:p>
    <w:p>
      <w:pPr>
        <w:pStyle w:val="Heading2"/>
      </w:pPr>
      <w:r>
        <w:t>6.3 Update Binding</w:t>
      </w:r>
    </w:p>
    <w:p>
      <w:pPr>
        <w:pStyle w:val="CodeBlock"/>
        <w:spacing w:before="80" w:after="160"/>
      </w:pPr>
      <w:r>
        <w:rPr>
          <w:rFonts w:ascii="Courier New" w:hAnsi="Courier New"/>
          <w:sz w:val="17"/>
        </w:rPr>
        <w:t>PUT /rules/access-keys-rotated/bindings/corp/default</w:t>
      </w:r>
    </w:p>
    <w:p>
      <w:pPr>
        <w:pStyle w:val="CodeBlock"/>
        <w:spacing w:before="80" w:after="160"/>
      </w:pPr>
      <w:r>
        <w:rPr>
          <w:rFonts w:ascii="Courier New" w:hAnsi="Courier New"/>
          <w:sz w:val="17"/>
        </w:rPr>
        <w:t>{</w:t>
        <w:br/>
        <w:t xml:space="preserve">  "payload": {</w:t>
        <w:br/>
        <w:t xml:space="preserve">    "status": "ACTIVE",</w:t>
        <w:br/>
        <w:t xml:space="preserve">    "version": 2,</w:t>
        <w:br/>
        <w:t xml:space="preserve">    "maxAccessKeyAge": 45</w:t>
        <w:br/>
        <w:t xml:space="preserve">  },</w:t>
        <w:br/>
        <w:t xml:space="preserve">  "expected_version": 1</w:t>
        <w:br/>
        <w:t>}</w:t>
      </w:r>
    </w:p>
    <w:p>
      <w:r>
        <w:t>The caller sends the version it last read as expected_version. If the stored payload.version is no longer that value, the API rejects the write with HTTP 409 rather than silently overwriting another user's change.</w:t>
      </w:r>
    </w:p>
    <w:p>
      <w:pPr>
        <w:pStyle w:val="Heading2"/>
      </w:pPr>
      <w:r>
        <w:t>6.4 Delete Binding</w:t>
      </w:r>
    </w:p>
    <w:p>
      <w:pPr>
        <w:pStyle w:val="CodeBlock"/>
        <w:spacing w:before="80" w:after="160"/>
      </w:pPr>
      <w:r>
        <w:rPr>
          <w:rFonts w:ascii="Courier New" w:hAnsi="Courier New"/>
          <w:sz w:val="17"/>
        </w:rPr>
        <w:t>DELETE /rules/access-keys-rotated/bindings/corp/default</w:t>
      </w:r>
    </w:p>
    <w:p>
      <w:r>
        <w:t>Expected success: HTTP 204 No Content.</w:t>
      </w:r>
    </w:p>
    <w:p>
      <w:pPr>
        <w:pStyle w:val="Heading1"/>
      </w:pPr>
      <w:r>
        <w:t>7. Catalog Read for Form Construction</w:t>
      </w:r>
    </w:p>
    <w:p>
      <w:r>
        <w:t>The current rule-catalog response includes:</w:t>
      </w:r>
    </w:p>
    <w:p>
      <w:pPr>
        <w:pStyle w:val="CodeBlock"/>
        <w:spacing w:before="80" w:after="160"/>
      </w:pPr>
      <w:r>
        <w:rPr>
          <w:rFonts w:ascii="Courier New" w:hAnsi="Courier New"/>
          <w:sz w:val="17"/>
        </w:rPr>
        <w:t>{</w:t>
        <w:br/>
        <w:t xml:space="preserve">  "rule_id": "access-keys-rotated",</w:t>
        <w:br/>
        <w:t xml:space="preserve">  "source_identifier": "ACCESS_KEYS_ROTATED",</w:t>
        <w:br/>
        <w:t xml:space="preserve">  "description": "Example description",</w:t>
        <w:br/>
        <w:t xml:space="preserve">  "severity": "Example severity",</w:t>
        <w:br/>
        <w:t xml:space="preserve">  "scopes": [</w:t>
        <w:br/>
        <w:t xml:space="preserve">    "AWS::IAM::User"</w:t>
        <w:br/>
        <w:t xml:space="preserve">  ],</w:t>
        <w:br/>
        <w:t xml:space="preserve">  "managed_rule": true,</w:t>
        <w:br/>
        <w:t xml:space="preserve">  "parameters": [</w:t>
        <w:br/>
        <w:t xml:space="preserve">    {</w:t>
        <w:br/>
        <w:t xml:space="preserve">      "name": "maxAccessKeyAge",</w:t>
        <w:br/>
        <w:t xml:space="preserve">      "data_type": "number",</w:t>
        <w:br/>
        <w:t xml:space="preserve">      "required": true,</w:t>
        <w:br/>
        <w:t xml:space="preserve">      "default_value": "90"</w:t>
        <w:br/>
        <w:t xml:space="preserve">    }</w:t>
        <w:br/>
        <w:t xml:space="preserve">  ]</w:t>
        <w:br/>
        <w:t>}</w:t>
      </w:r>
    </w:p>
    <w:p>
      <w:r>
        <w:t>This is enough for a functional form: labels, text/number inputs, required markers, defaults, and scope display. It is not yet a complete presentation-metadata contract for highly expressive widgets.</w:t>
      </w:r>
    </w:p>
    <w:p>
      <w:pPr>
        <w:pStyle w:val="Heading1"/>
      </w:pPr>
      <w:r>
        <w:t>8. Current Contract vs. Rich Presentation Metadata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2F0D9"/>
          </w:tcPr>
          <w:p>
            <w:r>
              <w:t>Status</w:t>
            </w:r>
          </w:p>
        </w:tc>
        <w:tc>
          <w:tcPr>
            <w:tcW w:type="dxa" w:w="3456"/>
            <w:shd w:fill="E2F0D9"/>
          </w:tcPr>
          <w:p>
            <w:r>
              <w:t>Metadata</w:t>
            </w:r>
          </w:p>
        </w:tc>
        <w:tc>
          <w:tcPr>
            <w:tcW w:type="dxa" w:w="3456"/>
            <w:shd w:fill="E2F0D9"/>
          </w:tcPr>
          <w:p>
            <w:r>
              <w:t>UI Use</w:t>
            </w:r>
          </w:p>
        </w:tc>
      </w:tr>
      <w:tr>
        <w:tc>
          <w:tcPr>
            <w:tcW w:type="dxa" w:w="3456"/>
            <w:tcMar>
              <w:top w:w="80" w:type="dxa"/>
              <w:start w:w="80" w:type="dxa"/>
              <w:bottom w:w="80" w:type="dxa"/>
              <w:end w:w="80" w:type="dxa"/>
            </w:tcMar>
          </w:tcPr>
          <w:p>
            <w:r>
              <w:t>Available today</w:t>
            </w:r>
          </w:p>
        </w:tc>
        <w:tc>
          <w:tcPr>
            <w:tcW w:type="dxa" w:w="3456"/>
            <w:tcMar>
              <w:top w:w="80" w:type="dxa"/>
              <w:start w:w="80" w:type="dxa"/>
              <w:bottom w:w="80" w:type="dxa"/>
              <w:end w:w="80" w:type="dxa"/>
            </w:tcMar>
          </w:tcPr>
          <w:p>
            <w:r>
              <w:t>name</w:t>
            </w:r>
          </w:p>
        </w:tc>
        <w:tc>
          <w:tcPr>
            <w:tcW w:type="dxa" w:w="3456"/>
            <w:tcMar>
              <w:top w:w="80" w:type="dxa"/>
              <w:start w:w="80" w:type="dxa"/>
              <w:bottom w:w="80" w:type="dxa"/>
              <w:end w:w="80" w:type="dxa"/>
            </w:tcMar>
          </w:tcPr>
          <w:p>
            <w:r>
              <w:t>Parameter label/key</w:t>
            </w:r>
          </w:p>
        </w:tc>
      </w:tr>
      <w:tr>
        <w:tc>
          <w:tcPr>
            <w:tcW w:type="dxa" w:w="3456"/>
            <w:tcMar>
              <w:top w:w="80" w:type="dxa"/>
              <w:start w:w="80" w:type="dxa"/>
              <w:bottom w:w="80" w:type="dxa"/>
              <w:end w:w="80" w:type="dxa"/>
            </w:tcMar>
          </w:tcPr>
          <w:p>
            <w:r>
              <w:t>Available today</w:t>
            </w:r>
          </w:p>
        </w:tc>
        <w:tc>
          <w:tcPr>
            <w:tcW w:type="dxa" w:w="3456"/>
            <w:tcMar>
              <w:top w:w="80" w:type="dxa"/>
              <w:start w:w="80" w:type="dxa"/>
              <w:bottom w:w="80" w:type="dxa"/>
              <w:end w:w="80" w:type="dxa"/>
            </w:tcMar>
          </w:tcPr>
          <w:p>
            <w:r>
              <w:t>data_type</w:t>
            </w:r>
          </w:p>
        </w:tc>
        <w:tc>
          <w:tcPr>
            <w:tcW w:type="dxa" w:w="3456"/>
            <w:tcMar>
              <w:top w:w="80" w:type="dxa"/>
              <w:start w:w="80" w:type="dxa"/>
              <w:bottom w:w="80" w:type="dxa"/>
              <w:end w:w="80" w:type="dxa"/>
            </w:tcMar>
          </w:tcPr>
          <w:p>
            <w:r>
              <w:t>Basic input-type selection</w:t>
            </w:r>
          </w:p>
        </w:tc>
      </w:tr>
      <w:tr>
        <w:tc>
          <w:tcPr>
            <w:tcW w:type="dxa" w:w="3456"/>
            <w:tcMar>
              <w:top w:w="80" w:type="dxa"/>
              <w:start w:w="80" w:type="dxa"/>
              <w:bottom w:w="80" w:type="dxa"/>
              <w:end w:w="80" w:type="dxa"/>
            </w:tcMar>
          </w:tcPr>
          <w:p>
            <w:r>
              <w:t>Available today</w:t>
            </w:r>
          </w:p>
        </w:tc>
        <w:tc>
          <w:tcPr>
            <w:tcW w:type="dxa" w:w="3456"/>
            <w:tcMar>
              <w:top w:w="80" w:type="dxa"/>
              <w:start w:w="80" w:type="dxa"/>
              <w:bottom w:w="80" w:type="dxa"/>
              <w:end w:w="80" w:type="dxa"/>
            </w:tcMar>
          </w:tcPr>
          <w:p>
            <w:r>
              <w:t>required</w:t>
            </w:r>
          </w:p>
        </w:tc>
        <w:tc>
          <w:tcPr>
            <w:tcW w:type="dxa" w:w="3456"/>
            <w:tcMar>
              <w:top w:w="80" w:type="dxa"/>
              <w:start w:w="80" w:type="dxa"/>
              <w:bottom w:w="80" w:type="dxa"/>
              <w:end w:w="80" w:type="dxa"/>
            </w:tcMar>
          </w:tcPr>
          <w:p>
            <w:r>
              <w:t>Required-field validation</w:t>
            </w:r>
          </w:p>
        </w:tc>
      </w:tr>
      <w:tr>
        <w:tc>
          <w:tcPr>
            <w:tcW w:type="dxa" w:w="3456"/>
            <w:tcMar>
              <w:top w:w="80" w:type="dxa"/>
              <w:start w:w="80" w:type="dxa"/>
              <w:bottom w:w="80" w:type="dxa"/>
              <w:end w:w="80" w:type="dxa"/>
            </w:tcMar>
          </w:tcPr>
          <w:p>
            <w:r>
              <w:t>Available today</w:t>
            </w:r>
          </w:p>
        </w:tc>
        <w:tc>
          <w:tcPr>
            <w:tcW w:type="dxa" w:w="3456"/>
            <w:tcMar>
              <w:top w:w="80" w:type="dxa"/>
              <w:start w:w="80" w:type="dxa"/>
              <w:bottom w:w="80" w:type="dxa"/>
              <w:end w:w="80" w:type="dxa"/>
            </w:tcMar>
          </w:tcPr>
          <w:p>
            <w:r>
              <w:t>default_value</w:t>
            </w:r>
          </w:p>
        </w:tc>
        <w:tc>
          <w:tcPr>
            <w:tcW w:type="dxa" w:w="3456"/>
            <w:tcMar>
              <w:top w:w="80" w:type="dxa"/>
              <w:start w:w="80" w:type="dxa"/>
              <w:bottom w:w="80" w:type="dxa"/>
              <w:end w:w="80" w:type="dxa"/>
            </w:tcMar>
          </w:tcPr>
          <w:p>
            <w:r>
              <w:t>Default display/value</w:t>
            </w:r>
          </w:p>
        </w:tc>
      </w:tr>
      <w:tr>
        <w:tc>
          <w:tcPr>
            <w:tcW w:type="dxa" w:w="3456"/>
            <w:tcMar>
              <w:top w:w="80" w:type="dxa"/>
              <w:start w:w="80" w:type="dxa"/>
              <w:bottom w:w="80" w:type="dxa"/>
              <w:end w:w="80" w:type="dxa"/>
            </w:tcMar>
          </w:tcPr>
          <w:p>
            <w:r>
              <w:t>Available today</w:t>
            </w:r>
          </w:p>
        </w:tc>
        <w:tc>
          <w:tcPr>
            <w:tcW w:type="dxa" w:w="3456"/>
            <w:tcMar>
              <w:top w:w="80" w:type="dxa"/>
              <w:start w:w="80" w:type="dxa"/>
              <w:bottom w:w="80" w:type="dxa"/>
              <w:end w:w="80" w:type="dxa"/>
            </w:tcMar>
          </w:tcPr>
          <w:p>
            <w:r>
              <w:t>scopes</w:t>
            </w:r>
          </w:p>
        </w:tc>
        <w:tc>
          <w:tcPr>
            <w:tcW w:type="dxa" w:w="3456"/>
            <w:tcMar>
              <w:top w:w="80" w:type="dxa"/>
              <w:start w:w="80" w:type="dxa"/>
              <w:bottom w:w="80" w:type="dxa"/>
              <w:end w:w="80" w:type="dxa"/>
            </w:tcMar>
          </w:tcPr>
          <w:p>
            <w:r>
              <w:t>Rule scope context</w:t>
            </w:r>
          </w:p>
        </w:tc>
      </w:tr>
      <w:tr>
        <w:tc>
          <w:tcPr>
            <w:tcW w:type="dxa" w:w="3456"/>
            <w:tcMar>
              <w:top w:w="80" w:type="dxa"/>
              <w:start w:w="80" w:type="dxa"/>
              <w:bottom w:w="80" w:type="dxa"/>
              <w:end w:w="80" w:type="dxa"/>
            </w:tcMar>
          </w:tcPr>
          <w:p>
            <w:r>
              <w:t>Recommended future metadata</w:t>
            </w:r>
          </w:p>
        </w:tc>
        <w:tc>
          <w:tcPr>
            <w:tcW w:type="dxa" w:w="3456"/>
            <w:tcMar>
              <w:top w:w="80" w:type="dxa"/>
              <w:start w:w="80" w:type="dxa"/>
              <w:bottom w:w="80" w:type="dxa"/>
              <w:end w:w="80" w:type="dxa"/>
            </w:tcMar>
          </w:tcPr>
          <w:p>
            <w:r>
              <w:t>minimum / maximum</w:t>
            </w:r>
          </w:p>
        </w:tc>
        <w:tc>
          <w:tcPr>
            <w:tcW w:type="dxa" w:w="3456"/>
            <w:tcMar>
              <w:top w:w="80" w:type="dxa"/>
              <w:start w:w="80" w:type="dxa"/>
              <w:bottom w:w="80" w:type="dxa"/>
              <w:end w:w="80" w:type="dxa"/>
            </w:tcMar>
          </w:tcPr>
          <w:p>
            <w:r>
              <w:t>Slider/range controls and validation</w:t>
            </w:r>
          </w:p>
        </w:tc>
      </w:tr>
      <w:tr>
        <w:tc>
          <w:tcPr>
            <w:tcW w:type="dxa" w:w="3456"/>
            <w:tcMar>
              <w:top w:w="80" w:type="dxa"/>
              <w:start w:w="80" w:type="dxa"/>
              <w:bottom w:w="80" w:type="dxa"/>
              <w:end w:w="80" w:type="dxa"/>
            </w:tcMar>
          </w:tcPr>
          <w:p>
            <w:r>
              <w:t>Recommended future metadata</w:t>
            </w:r>
          </w:p>
        </w:tc>
        <w:tc>
          <w:tcPr>
            <w:tcW w:type="dxa" w:w="3456"/>
            <w:tcMar>
              <w:top w:w="80" w:type="dxa"/>
              <w:start w:w="80" w:type="dxa"/>
              <w:bottom w:w="80" w:type="dxa"/>
              <w:end w:w="80" w:type="dxa"/>
            </w:tcMar>
          </w:tcPr>
          <w:p>
            <w:r>
              <w:t>allowed_values</w:t>
            </w:r>
          </w:p>
        </w:tc>
        <w:tc>
          <w:tcPr>
            <w:tcW w:type="dxa" w:w="3456"/>
            <w:tcMar>
              <w:top w:w="80" w:type="dxa"/>
              <w:start w:w="80" w:type="dxa"/>
              <w:bottom w:w="80" w:type="dxa"/>
              <w:end w:w="80" w:type="dxa"/>
            </w:tcMar>
          </w:tcPr>
          <w:p>
            <w:r>
              <w:t>Dropdown/radio selection</w:t>
            </w:r>
          </w:p>
        </w:tc>
      </w:tr>
      <w:tr>
        <w:tc>
          <w:tcPr>
            <w:tcW w:type="dxa" w:w="3456"/>
            <w:tcMar>
              <w:top w:w="80" w:type="dxa"/>
              <w:start w:w="80" w:type="dxa"/>
              <w:bottom w:w="80" w:type="dxa"/>
              <w:end w:w="80" w:type="dxa"/>
            </w:tcMar>
          </w:tcPr>
          <w:p>
            <w:r>
              <w:t>Recommended future metadata</w:t>
            </w:r>
          </w:p>
        </w:tc>
        <w:tc>
          <w:tcPr>
            <w:tcW w:type="dxa" w:w="3456"/>
            <w:tcMar>
              <w:top w:w="80" w:type="dxa"/>
              <w:start w:w="80" w:type="dxa"/>
              <w:bottom w:w="80" w:type="dxa"/>
              <w:end w:w="80" w:type="dxa"/>
            </w:tcMar>
          </w:tcPr>
          <w:p>
            <w:r>
              <w:t>help_text / description</w:t>
            </w:r>
          </w:p>
        </w:tc>
        <w:tc>
          <w:tcPr>
            <w:tcW w:type="dxa" w:w="3456"/>
            <w:tcMar>
              <w:top w:w="80" w:type="dxa"/>
              <w:start w:w="80" w:type="dxa"/>
              <w:bottom w:w="80" w:type="dxa"/>
              <w:end w:w="80" w:type="dxa"/>
            </w:tcMar>
          </w:tcPr>
          <w:p>
            <w:r>
              <w:t>Inline guidance</w:t>
            </w:r>
          </w:p>
        </w:tc>
      </w:tr>
      <w:tr>
        <w:tc>
          <w:tcPr>
            <w:tcW w:type="dxa" w:w="3456"/>
            <w:tcMar>
              <w:top w:w="80" w:type="dxa"/>
              <w:start w:w="80" w:type="dxa"/>
              <w:bottom w:w="80" w:type="dxa"/>
              <w:end w:w="80" w:type="dxa"/>
            </w:tcMar>
          </w:tcPr>
          <w:p>
            <w:r>
              <w:t>Recommended future metadata</w:t>
            </w:r>
          </w:p>
        </w:tc>
        <w:tc>
          <w:tcPr>
            <w:tcW w:type="dxa" w:w="3456"/>
            <w:tcMar>
              <w:top w:w="80" w:type="dxa"/>
              <w:start w:w="80" w:type="dxa"/>
              <w:bottom w:w="80" w:type="dxa"/>
              <w:end w:w="80" w:type="dxa"/>
            </w:tcMar>
          </w:tcPr>
          <w:p>
            <w:r>
              <w:t>display_hint</w:t>
            </w:r>
          </w:p>
        </w:tc>
        <w:tc>
          <w:tcPr>
            <w:tcW w:type="dxa" w:w="3456"/>
            <w:tcMar>
              <w:top w:w="80" w:type="dxa"/>
              <w:start w:w="80" w:type="dxa"/>
              <w:bottom w:w="80" w:type="dxa"/>
              <w:end w:w="80" w:type="dxa"/>
            </w:tcMar>
          </w:tcPr>
          <w:p>
            <w:r>
              <w:t>Explicit slider/dropdown/textarea hint when desired</w:t>
            </w:r>
          </w:p>
        </w:tc>
      </w:tr>
      <w:tr>
        <w:tc>
          <w:tcPr>
            <w:tcW w:type="dxa" w:w="3456"/>
            <w:tcMar>
              <w:top w:w="80" w:type="dxa"/>
              <w:start w:w="80" w:type="dxa"/>
              <w:bottom w:w="80" w:type="dxa"/>
              <w:end w:w="80" w:type="dxa"/>
            </w:tcMar>
          </w:tcPr>
          <w:p>
            <w:r>
              <w:t>Recommended future metadata</w:t>
            </w:r>
          </w:p>
        </w:tc>
        <w:tc>
          <w:tcPr>
            <w:tcW w:type="dxa" w:w="3456"/>
            <w:tcMar>
              <w:top w:w="80" w:type="dxa"/>
              <w:start w:w="80" w:type="dxa"/>
              <w:bottom w:w="80" w:type="dxa"/>
              <w:end w:w="80" w:type="dxa"/>
            </w:tcMar>
          </w:tcPr>
          <w:p>
            <w:r>
              <w:t>units</w:t>
            </w:r>
          </w:p>
        </w:tc>
        <w:tc>
          <w:tcPr>
            <w:tcW w:type="dxa" w:w="3456"/>
            <w:tcMar>
              <w:top w:w="80" w:type="dxa"/>
              <w:start w:w="80" w:type="dxa"/>
              <w:bottom w:w="80" w:type="dxa"/>
              <w:end w:w="80" w:type="dxa"/>
            </w:tcMar>
          </w:tcPr>
          <w:p>
            <w:r>
              <w:t>Age/days/count/size presentation</w:t>
            </w:r>
          </w:p>
        </w:tc>
      </w:tr>
    </w:tbl>
    <w:p>
      <w:r>
        <w:t>Recommendation: do not invent these future fields inside the UI. If richer controls are required, add metadata to the catalog contract once and let the UI consume it. That preserves the architectural rule that presentation choices should be driven by contract metadata rather than hard-coded rule knowledge.</w:t>
      </w:r>
    </w:p>
    <w:p>
      <w:pPr>
        <w:pStyle w:val="Heading1"/>
      </w:pPr>
      <w:r>
        <w:t>9. Error and Status Behavior</w:t>
      </w:r>
    </w:p>
    <w:tbl>
      <w:tblPr>
        <w:tblStyle w:val="TableGrid"/>
        <w:tblW w:type="auto" w:w="0"/>
        <w:jc w:val="center"/>
        <w:tblLook w:firstColumn="1" w:firstRow="1" w:lastColumn="0" w:lastRow="0" w:noHBand="0" w:noVBand="1" w:val="04A0"/>
      </w:tblPr>
      <w:tblGrid>
        <w:gridCol w:w="5184"/>
        <w:gridCol w:w="5184"/>
      </w:tblGrid>
      <w:tr>
        <w:tc>
          <w:tcPr>
            <w:tcW w:type="dxa" w:w="5184"/>
            <w:shd w:fill="FCE4D6"/>
          </w:tcPr>
          <w:p>
            <w:r>
              <w:t>HTTP</w:t>
            </w:r>
          </w:p>
        </w:tc>
        <w:tc>
          <w:tcPr>
            <w:tcW w:type="dxa" w:w="5184"/>
            <w:shd w:fill="FCE4D6"/>
          </w:tcPr>
          <w:p>
            <w:r>
              <w:t>Meaning</w:t>
            </w:r>
          </w:p>
        </w:tc>
      </w:tr>
      <w:tr>
        <w:tc>
          <w:tcPr>
            <w:tcW w:type="dxa" w:w="5184"/>
            <w:tcMar>
              <w:top w:w="80" w:type="dxa"/>
              <w:start w:w="80" w:type="dxa"/>
              <w:bottom w:w="80" w:type="dxa"/>
              <w:end w:w="80" w:type="dxa"/>
            </w:tcMar>
          </w:tcPr>
          <w:p>
            <w:r>
              <w:t>200</w:t>
            </w:r>
          </w:p>
        </w:tc>
        <w:tc>
          <w:tcPr>
            <w:tcW w:type="dxa" w:w="5184"/>
            <w:tcMar>
              <w:top w:w="80" w:type="dxa"/>
              <w:start w:w="80" w:type="dxa"/>
              <w:bottom w:w="80" w:type="dxa"/>
              <w:end w:w="80" w:type="dxa"/>
            </w:tcMar>
          </w:tcPr>
          <w:p>
            <w:r>
              <w:t>Successful GET or PUT</w:t>
            </w:r>
          </w:p>
        </w:tc>
      </w:tr>
      <w:tr>
        <w:tc>
          <w:tcPr>
            <w:tcW w:type="dxa" w:w="5184"/>
            <w:tcMar>
              <w:top w:w="80" w:type="dxa"/>
              <w:start w:w="80" w:type="dxa"/>
              <w:bottom w:w="80" w:type="dxa"/>
              <w:end w:w="80" w:type="dxa"/>
            </w:tcMar>
          </w:tcPr>
          <w:p>
            <w:r>
              <w:t>201</w:t>
            </w:r>
          </w:p>
        </w:tc>
        <w:tc>
          <w:tcPr>
            <w:tcW w:type="dxa" w:w="5184"/>
            <w:tcMar>
              <w:top w:w="80" w:type="dxa"/>
              <w:start w:w="80" w:type="dxa"/>
              <w:bottom w:w="80" w:type="dxa"/>
              <w:end w:w="80" w:type="dxa"/>
            </w:tcMar>
          </w:tcPr>
          <w:p>
            <w:r>
              <w:t>Binding created</w:t>
            </w:r>
          </w:p>
        </w:tc>
      </w:tr>
      <w:tr>
        <w:tc>
          <w:tcPr>
            <w:tcW w:type="dxa" w:w="5184"/>
            <w:tcMar>
              <w:top w:w="80" w:type="dxa"/>
              <w:start w:w="80" w:type="dxa"/>
              <w:bottom w:w="80" w:type="dxa"/>
              <w:end w:w="80" w:type="dxa"/>
            </w:tcMar>
          </w:tcPr>
          <w:p>
            <w:r>
              <w:t>204</w:t>
            </w:r>
          </w:p>
        </w:tc>
        <w:tc>
          <w:tcPr>
            <w:tcW w:type="dxa" w:w="5184"/>
            <w:tcMar>
              <w:top w:w="80" w:type="dxa"/>
              <w:start w:w="80" w:type="dxa"/>
              <w:bottom w:w="80" w:type="dxa"/>
              <w:end w:w="80" w:type="dxa"/>
            </w:tcMar>
          </w:tcPr>
          <w:p>
            <w:r>
              <w:t>Binding deleted; no body</w:t>
            </w:r>
          </w:p>
        </w:tc>
      </w:tr>
      <w:tr>
        <w:tc>
          <w:tcPr>
            <w:tcW w:type="dxa" w:w="5184"/>
            <w:tcMar>
              <w:top w:w="80" w:type="dxa"/>
              <w:start w:w="80" w:type="dxa"/>
              <w:bottom w:w="80" w:type="dxa"/>
              <w:end w:w="80" w:type="dxa"/>
            </w:tcMar>
          </w:tcPr>
          <w:p>
            <w:r>
              <w:t>400</w:t>
            </w:r>
          </w:p>
        </w:tc>
        <w:tc>
          <w:tcPr>
            <w:tcW w:type="dxa" w:w="5184"/>
            <w:tcMar>
              <w:top w:w="80" w:type="dxa"/>
              <w:start w:w="80" w:type="dxa"/>
              <w:bottom w:w="80" w:type="dxa"/>
              <w:end w:w="80" w:type="dxa"/>
            </w:tcMar>
          </w:tcPr>
          <w:p>
            <w:r>
              <w:t>Validation error</w:t>
            </w:r>
          </w:p>
        </w:tc>
      </w:tr>
      <w:tr>
        <w:tc>
          <w:tcPr>
            <w:tcW w:type="dxa" w:w="5184"/>
            <w:tcMar>
              <w:top w:w="80" w:type="dxa"/>
              <w:start w:w="80" w:type="dxa"/>
              <w:bottom w:w="80" w:type="dxa"/>
              <w:end w:w="80" w:type="dxa"/>
            </w:tcMar>
          </w:tcPr>
          <w:p>
            <w:r>
              <w:t>404</w:t>
            </w:r>
          </w:p>
        </w:tc>
        <w:tc>
          <w:tcPr>
            <w:tcW w:type="dxa" w:w="5184"/>
            <w:tcMar>
              <w:top w:w="80" w:type="dxa"/>
              <w:start w:w="80" w:type="dxa"/>
              <w:bottom w:w="80" w:type="dxa"/>
              <w:end w:w="80" w:type="dxa"/>
            </w:tcMar>
          </w:tcPr>
          <w:p>
            <w:r>
              <w:t>Binding/catalog entry/route not found</w:t>
            </w:r>
          </w:p>
        </w:tc>
      </w:tr>
      <w:tr>
        <w:tc>
          <w:tcPr>
            <w:tcW w:type="dxa" w:w="5184"/>
            <w:tcMar>
              <w:top w:w="80" w:type="dxa"/>
              <w:start w:w="80" w:type="dxa"/>
              <w:bottom w:w="80" w:type="dxa"/>
              <w:end w:w="80" w:type="dxa"/>
            </w:tcMar>
          </w:tcPr>
          <w:p>
            <w:r>
              <w:t>409</w:t>
            </w:r>
          </w:p>
        </w:tc>
        <w:tc>
          <w:tcPr>
            <w:tcW w:type="dxa" w:w="5184"/>
            <w:tcMar>
              <w:top w:w="80" w:type="dxa"/>
              <w:start w:w="80" w:type="dxa"/>
              <w:bottom w:w="80" w:type="dxa"/>
              <w:end w:w="80" w:type="dxa"/>
            </w:tcMar>
          </w:tcPr>
          <w:p>
            <w:r>
              <w:t>Create conflict or stale expected_version during update</w:t>
            </w:r>
          </w:p>
        </w:tc>
      </w:tr>
      <w:tr>
        <w:tc>
          <w:tcPr>
            <w:tcW w:type="dxa" w:w="5184"/>
            <w:tcMar>
              <w:top w:w="80" w:type="dxa"/>
              <w:start w:w="80" w:type="dxa"/>
              <w:bottom w:w="80" w:type="dxa"/>
              <w:end w:w="80" w:type="dxa"/>
            </w:tcMar>
          </w:tcPr>
          <w:p>
            <w:r>
              <w:t>500</w:t>
            </w:r>
          </w:p>
        </w:tc>
        <w:tc>
          <w:tcPr>
            <w:tcW w:type="dxa" w:w="5184"/>
            <w:tcMar>
              <w:top w:w="80" w:type="dxa"/>
              <w:start w:w="80" w:type="dxa"/>
              <w:bottom w:w="80" w:type="dxa"/>
              <w:end w:w="80" w:type="dxa"/>
            </w:tcMar>
          </w:tcPr>
          <w:p>
            <w:r>
              <w:t>Unhandled server error</w:t>
            </w:r>
          </w:p>
        </w:tc>
      </w:tr>
    </w:tbl>
    <w:p>
      <w:pPr>
        <w:pStyle w:val="Heading1"/>
      </w:pPr>
      <w:r>
        <w:t>10. Developer Responsibilities</w:t>
      </w:r>
    </w:p>
    <w:tbl>
      <w:tblPr>
        <w:tblStyle w:val="TableGrid"/>
        <w:tblW w:type="auto" w:w="0"/>
        <w:jc w:val="center"/>
        <w:tblLook w:firstColumn="1" w:firstRow="1" w:lastColumn="0" w:lastRow="0" w:noHBand="0" w:noVBand="1" w:val="04A0"/>
      </w:tblPr>
      <w:tblGrid>
        <w:gridCol w:w="5184"/>
        <w:gridCol w:w="5184"/>
      </w:tblGrid>
      <w:tr>
        <w:tc>
          <w:tcPr>
            <w:tcW w:type="dxa" w:w="5184"/>
            <w:shd w:fill="FFF2CC"/>
          </w:tcPr>
          <w:p>
            <w:r>
              <w:t>Layer</w:t>
            </w:r>
          </w:p>
        </w:tc>
        <w:tc>
          <w:tcPr>
            <w:tcW w:type="dxa" w:w="5184"/>
            <w:shd w:fill="FFF2CC"/>
          </w:tcPr>
          <w:p>
            <w:r>
              <w:t>Responsibility</w:t>
            </w:r>
          </w:p>
        </w:tc>
      </w:tr>
      <w:tr>
        <w:tc>
          <w:tcPr>
            <w:tcW w:type="dxa" w:w="5184"/>
            <w:tcMar>
              <w:top w:w="80" w:type="dxa"/>
              <w:start w:w="80" w:type="dxa"/>
              <w:bottom w:w="80" w:type="dxa"/>
              <w:end w:w="80" w:type="dxa"/>
            </w:tcMar>
          </w:tcPr>
          <w:p>
            <w:r>
              <w:t>UI / Integration</w:t>
            </w:r>
          </w:p>
        </w:tc>
        <w:tc>
          <w:tcPr>
            <w:tcW w:type="dxa" w:w="5184"/>
            <w:tcMar>
              <w:top w:w="80" w:type="dxa"/>
              <w:start w:w="80" w:type="dxa"/>
              <w:bottom w:w="80" w:type="dxa"/>
              <w:end w:w="80" w:type="dxa"/>
            </w:tcMar>
          </w:tcPr>
          <w:p>
            <w:r>
              <w:t>Render tables and forms; call REST endpoints; serialize/deserialize JSON; handle loading, validation feedback, 404/409 errors; preserve expected_version workflow.</w:t>
            </w:r>
          </w:p>
        </w:tc>
      </w:tr>
      <w:tr>
        <w:tc>
          <w:tcPr>
            <w:tcW w:type="dxa" w:w="5184"/>
            <w:tcMar>
              <w:top w:w="80" w:type="dxa"/>
              <w:start w:w="80" w:type="dxa"/>
              <w:bottom w:w="80" w:type="dxa"/>
              <w:end w:w="80" w:type="dxa"/>
            </w:tcMar>
          </w:tcPr>
          <w:p>
            <w:r>
              <w:t>API</w:t>
            </w:r>
          </w:p>
        </w:tc>
        <w:tc>
          <w:tcPr>
            <w:tcW w:type="dxa" w:w="5184"/>
            <w:tcMar>
              <w:top w:w="80" w:type="dxa"/>
              <w:start w:w="80" w:type="dxa"/>
              <w:bottom w:w="80" w:type="dxa"/>
              <w:end w:w="80" w:type="dxa"/>
            </w:tcMar>
          </w:tcPr>
          <w:p>
            <w:r>
              <w:t>Own DynamoDB key construction; validate common request fields; perform CRUD; enforce optimistic locking; normalize DynamoDB items into clean JSON.</w:t>
            </w:r>
          </w:p>
        </w:tc>
      </w:tr>
      <w:tr>
        <w:tc>
          <w:tcPr>
            <w:tcW w:type="dxa" w:w="5184"/>
            <w:tcMar>
              <w:top w:w="80" w:type="dxa"/>
              <w:start w:w="80" w:type="dxa"/>
              <w:bottom w:w="80" w:type="dxa"/>
              <w:end w:w="80" w:type="dxa"/>
            </w:tcMar>
          </w:tcPr>
          <w:p>
            <w:r>
              <w:t>Database / Catalog</w:t>
            </w:r>
          </w:p>
        </w:tc>
        <w:tc>
          <w:tcPr>
            <w:tcW w:type="dxa" w:w="5184"/>
            <w:tcMar>
              <w:top w:w="80" w:type="dxa"/>
              <w:start w:w="80" w:type="dxa"/>
              <w:bottom w:w="80" w:type="dxa"/>
              <w:end w:w="80" w:type="dxa"/>
            </w:tcMar>
          </w:tcPr>
          <w:p>
            <w:r>
              <w:t>Store rule catalog, parameter definitions, organization/group bindings, and payload values.</w:t>
            </w:r>
          </w:p>
        </w:tc>
      </w:tr>
      <w:tr>
        <w:tc>
          <w:tcPr>
            <w:tcW w:type="dxa" w:w="5184"/>
            <w:tcMar>
              <w:top w:w="80" w:type="dxa"/>
              <w:start w:w="80" w:type="dxa"/>
              <w:bottom w:w="80" w:type="dxa"/>
              <w:end w:w="80" w:type="dxa"/>
            </w:tcMar>
          </w:tcPr>
          <w:p>
            <w:r>
              <w:t>Presentation / UX enhancement</w:t>
            </w:r>
          </w:p>
        </w:tc>
        <w:tc>
          <w:tcPr>
            <w:tcW w:type="dxa" w:w="5184"/>
            <w:tcMar>
              <w:top w:w="80" w:type="dxa"/>
              <w:start w:w="80" w:type="dxa"/>
              <w:bottom w:w="80" w:type="dxa"/>
              <w:end w:w="80" w:type="dxa"/>
            </w:tcMar>
          </w:tcPr>
          <w:p>
            <w:r>
              <w:t>Choose richer controls and visual hierarchy based on metadata returned by the catalog contract; should not require direct DynamoDB knowledge.</w:t>
            </w:r>
          </w:p>
        </w:tc>
      </w:tr>
    </w:tbl>
    <w:p>
      <w:pPr>
        <w:pStyle w:val="Heading1"/>
      </w:pPr>
      <w:r>
        <w:t>11. Suggested First UI Deliverable</w:t>
      </w:r>
    </w:p>
    <w:p>
      <w:pPr>
        <w:pStyle w:val="ListBullet"/>
      </w:pPr>
      <w:r>
        <w:t>Rule search/list view using GET /rules.</w:t>
      </w:r>
    </w:p>
    <w:p>
      <w:pPr>
        <w:pStyle w:val="ListBullet"/>
      </w:pPr>
      <w:r>
        <w:t>Group search/list view using GET /groups.</w:t>
      </w:r>
    </w:p>
    <w:p>
      <w:pPr>
        <w:pStyle w:val="ListBullet"/>
      </w:pPr>
      <w:r>
        <w:t>Rule detail panel using GET /rules/{ruleId}/catalog.</w:t>
      </w:r>
    </w:p>
    <w:p>
      <w:pPr>
        <w:pStyle w:val="ListBullet"/>
      </w:pPr>
      <w:r>
        <w:t>Bindings table by rule and/or by group.</w:t>
      </w:r>
    </w:p>
    <w:p>
      <w:pPr>
        <w:pStyle w:val="ListBullet"/>
      </w:pPr>
      <w:r>
        <w:t>Create binding form.</w:t>
      </w:r>
    </w:p>
    <w:p>
      <w:pPr>
        <w:pStyle w:val="ListBullet"/>
      </w:pPr>
      <w:r>
        <w:t>Edit binding form that reads the current version and sends expected_version on PUT.</w:t>
      </w:r>
    </w:p>
    <w:p>
      <w:pPr>
        <w:pStyle w:val="ListBullet"/>
      </w:pPr>
      <w:r>
        <w:t>Delete confirmation flow.</w:t>
      </w:r>
    </w:p>
    <w:p>
      <w:pPr>
        <w:pStyle w:val="ListBullet"/>
      </w:pPr>
      <w:r>
        <w:t>Simple handling for validation, not-found, conflict, and unexpected-server errors.</w:t>
      </w:r>
    </w:p>
    <w:p>
      <w:pPr>
        <w:pStyle w:val="ListBullet"/>
      </w:pPr>
      <w:r>
        <w:t>No direct DynamoDB access and no hard-coded DynamoDB keys.</w:t>
      </w:r>
    </w:p>
    <w:p>
      <w:pPr>
        <w:pStyle w:val="Heading1"/>
      </w:pPr>
      <w:r>
        <w:t>12. Contract Freeze Recommendation</w:t>
      </w:r>
    </w:p>
    <w:p>
      <w:r>
        <w:t>Freeze the endpoint structure and binding CRUD semantics now. They are already aligned with the current organization/group/binding model and intentionally isolate the UI from DynamoDB.</w:t>
      </w:r>
    </w:p>
    <w:p>
      <w:r>
        <w:t>Before declaring the catalog contract permanently frozen, decide whether the first-generation UI only needs functional forms or whether it must immediately support richer metadata-driven controls. If richer controls are a later enhancement, the current contract is sufficient for the functional UI and can be extended additively without breaking the existing CRUD interface.</w:t>
      </w:r>
    </w:p>
    <w:p>
      <w:pPr>
        <w:pStyle w:val="Heading1"/>
      </w:pPr>
      <w:r>
        <w:t>13. Practical Localhost Development Model</w:t>
      </w:r>
    </w:p>
    <w:p>
      <w:r>
        <w:t>A developer can host the UI on localhost and initially serve the included sample JSON fixtures from a tiny local mock server. The UI should still call HTTP endpoints rather than read fixture files directly where practical. Later, the base URL can be changed from localhost to the deployed API without changing the resource contract.</w:t>
      </w:r>
    </w:p>
    <w:p>
      <w:pPr>
        <w:pStyle w:val="CodeBlock"/>
        <w:spacing w:before="80" w:after="160"/>
      </w:pPr>
      <w:r>
        <w:rPr>
          <w:rFonts w:ascii="Courier New" w:hAnsi="Courier New"/>
          <w:sz w:val="17"/>
        </w:rPr>
        <w:t>Local browser -&gt; http://localhost:&lt;port&gt;/mock API -&gt; sample JSON</w:t>
        <w:br/>
        <w:t>Later: local/browser UI -&gt; deployed API Gateway -&gt; Lambda -&gt; DynamoDB</w:t>
      </w:r>
    </w:p>
    <w:p>
      <w:pPr>
        <w:pStyle w:val="Heading1"/>
      </w:pPr>
      <w:r>
        <w:t>14. Handoff Checklist</w:t>
      </w:r>
    </w:p>
    <w:p>
      <w:pPr>
        <w:pStyle w:val="ListBullet"/>
      </w:pPr>
      <w:r>
        <w:t>Use API endpoints as the source contract; do not code against DynamoDB pk/sk/gsi fields.</w:t>
      </w:r>
    </w:p>
    <w:p>
      <w:pPr>
        <w:pStyle w:val="ListBullet"/>
      </w:pPr>
      <w:r>
        <w:t>Use the included JSON fixtures as representative examples, not as a substitute for the endpoint contract.</w:t>
      </w:r>
    </w:p>
    <w:p>
      <w:pPr>
        <w:pStyle w:val="ListBullet"/>
      </w:pPr>
      <w:r>
        <w:t>Treat group and binding as resource identity.</w:t>
      </w:r>
    </w:p>
    <w:p>
      <w:pPr>
        <w:pStyle w:val="ListBullet"/>
      </w:pPr>
      <w:r>
        <w:t>On PUT, retain the last-read version and send it as expected_version.</w:t>
      </w:r>
    </w:p>
    <w:p>
      <w:pPr>
        <w:pStyle w:val="ListBullet"/>
      </w:pPr>
      <w:r>
        <w:t>On HTTP 409, refetch the binding before allowing another save attempt.</w:t>
      </w:r>
    </w:p>
    <w:p>
      <w:pPr>
        <w:pStyle w:val="ListBullet"/>
      </w:pPr>
      <w:r>
        <w:t>For the first UI, prefer clarity and function over elaborate presentation.</w:t>
      </w:r>
    </w:p>
    <w:p>
      <w:pPr>
        <w:pStyle w:val="ListBullet"/>
      </w:pPr>
      <w:r>
        <w:t>Do not hard-code rich controls for individual AWS Config rules unless/until the API provides stable metadata for those controls.</w:t>
      </w:r>
    </w:p>
    <w:p>
      <w:pPr>
        <w:pStyle w:val="Heading1"/>
      </w:pPr>
      <w:r>
        <w:t>15. Repository Evidence Used</w:t>
      </w:r>
    </w:p>
    <w:p>
      <w:pPr>
        <w:pStyle w:val="ListBullet"/>
      </w:pPr>
      <w:r>
        <w:t>api/README.md</w:t>
      </w:r>
    </w:p>
    <w:p>
      <w:pPr>
        <w:pStyle w:val="ListBullet"/>
      </w:pPr>
      <w:r>
        <w:t>api/src/handler.py</w:t>
      </w:r>
    </w:p>
    <w:p>
      <w:pPr>
        <w:pStyle w:val="ListBullet"/>
      </w:pPr>
      <w:r>
        <w:t>api/src/common/dynamodb.py</w:t>
      </w:r>
    </w:p>
    <w:p>
      <w:pPr>
        <w:pStyle w:val="ListBullet"/>
      </w:pPr>
      <w:r>
        <w:t>api/src/common/response.py</w:t>
      </w:r>
    </w:p>
    <w:p>
      <w:pPr>
        <w:pStyle w:val="ListBullet"/>
      </w:pPr>
      <w:r>
        <w:t>api/src/common/validation.py</w:t>
      </w:r>
    </w:p>
    <w:p>
      <w:pPr>
        <w:pStyle w:val="ListBullet"/>
      </w:pPr>
      <w:r>
        <w:t>api/src/common/exceptions.py</w:t>
      </w:r>
    </w:p>
    <w:p>
      <w:pPr>
        <w:pStyle w:val="ListBullet"/>
      </w:pPr>
      <w:r>
        <w:t>api/src/bindings/create.py</w:t>
      </w:r>
    </w:p>
    <w:p>
      <w:pPr>
        <w:pStyle w:val="ListBullet"/>
      </w:pPr>
      <w:r>
        <w:t>api/src/bindings/get.py</w:t>
      </w:r>
    </w:p>
    <w:p>
      <w:pPr>
        <w:pStyle w:val="ListBullet"/>
      </w:pPr>
      <w:r>
        <w:t>api/src/bindings/update.py</w:t>
      </w:r>
    </w:p>
    <w:p>
      <w:pPr>
        <w:pStyle w:val="ListBullet"/>
      </w:pPr>
      <w:r>
        <w:t>api/src/bindings/delete.py</w:t>
      </w:r>
    </w:p>
    <w:p>
      <w:pPr>
        <w:pStyle w:val="ListBullet"/>
      </w:pPr>
      <w:r>
        <w:t>api/src/bindings/list_by_rule.py</w:t>
      </w:r>
    </w:p>
    <w:p>
      <w:pPr>
        <w:pStyle w:val="ListBullet"/>
      </w:pPr>
      <w:r>
        <w:t>api/src/bindings/list_by_group.py</w:t>
      </w:r>
    </w:p>
    <w:p>
      <w:pPr>
        <w:pStyle w:val="ListBullet"/>
      </w:pPr>
      <w:r>
        <w:t>api/src/rules/get_catalog.py</w:t>
      </w:r>
    </w:p>
    <w:p>
      <w:pPr>
        <w:pStyle w:val="ListBullet"/>
      </w:pPr>
      <w:r>
        <w:t>api/src/rules/list_ids.py</w:t>
      </w:r>
    </w:p>
    <w:p>
      <w:pPr>
        <w:pStyle w:val="ListBullet"/>
      </w:pPr>
      <w:r>
        <w:t>api/src/groups/list_ids.py</w:t>
      </w:r>
    </w:p>
    <w:p>
      <w:pPr>
        <w:pStyle w:val="ListBullet"/>
      </w:pPr>
      <w:r>
        <w:t>loader/loader.py</w:t>
      </w:r>
    </w:p>
    <w:p>
      <w:pPr>
        <w:pStyle w:val="ListBullet"/>
      </w:pPr>
      <w:r>
        <w:t>crud_api_gateway.tf</w:t>
      </w:r>
    </w:p>
    <w:p>
      <w:pPr>
        <w:pStyle w:val="ListBullet"/>
      </w:pPr>
      <w:r>
        <w:t>crud_api_dynamodb.tf</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Y62DB UI Integration Package - Developer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right="259"/>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