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8b0000"/>
          <w:sz w:val="52"/>
          <w:szCs w:val="52"/>
        </w:rPr>
        <w:t xml:space="preserve">RED TORCH SECURITY SOLUTIONS LLC</w:t>
      </w:r>
    </w:p>
    <w:p>
      <w:pPr>
        <w:spacing w:after="100"/>
        <w:jc w:val="center"/>
      </w:pPr>
      <w:r>
        <w:rPr>
          <w:rFonts w:ascii="Calibri" w:cs="Calibri" w:eastAsia="Calibri" w:hAnsi="Calibri"/>
          <w:b/>
          <w:bCs/>
          <w:color w:val="333333"/>
          <w:sz w:val="44"/>
          <w:szCs w:val="44"/>
        </w:rPr>
        <w:t xml:space="preserve">SENTINEL PLATFORM</w:t>
      </w:r>
    </w:p>
    <w:p>
      <w:pPr>
        <w:spacing w:after="600"/>
        <w:jc w:val="center"/>
      </w:pPr>
      <w:r>
        <w:rPr>
          <w:rFonts w:ascii="Calibri" w:cs="Calibri" w:eastAsia="Calibri" w:hAnsi="Calibri"/>
          <w:color w:val="666666"/>
          <w:sz w:val="28"/>
          <w:szCs w:val="28"/>
        </w:rPr>
        <w:t xml:space="preserve">Technical Architecture and System Description</w:t>
      </w:r>
    </w:p>
    <w:p>
      <w:pPr>
        <w:spacing w:after="200"/>
        <w:jc w:val="center"/>
      </w:pPr>
      <w:r>
        <w:rPr>
          <w:rFonts w:ascii="Calibri" w:cs="Calibri" w:eastAsia="Calibri" w:hAnsi="Calibri"/>
          <w:b/>
          <w:bCs/>
          <w:color w:val="8b0000"/>
          <w:sz w:val="22"/>
          <w:szCs w:val="22"/>
        </w:rPr>
        <w:t xml:space="preserve">CONFIDENTIAL — BUSINESS PROPRIETARY</w:t>
      </w:r>
    </w:p>
    <w:p>
      <w:pPr>
        <w:jc w:val="center"/>
      </w:pPr>
      <w:r>
        <w:rPr>
          <w:rFonts w:ascii="Calibri" w:cs="Calibri" w:eastAsia="Calibri" w:hAnsi="Calibri"/>
          <w:color w:val="666666"/>
          <w:sz w:val="22"/>
          <w:szCs w:val="22"/>
        </w:rPr>
        <w:t xml:space="preserve">July 2026</w:t>
      </w:r>
    </w:p>
    <w:p>
      <w:r>
        <w:br w:type="page"/>
      </w:r>
    </w:p>
    <w:p>
      <w:pPr>
        <w:pStyle w:val="Heading1"/>
        <w:pBdr>
          <w:bottom w:val="single" w:color="cc0000" w:sz="6"/>
        </w:pBdr>
        <w:spacing w:after="200" w:before="400"/>
      </w:pPr>
      <w:r>
        <w:rPr>
          <w:rFonts w:ascii="Calibri" w:cs="Calibri" w:eastAsia="Calibri" w:hAnsi="Calibri"/>
          <w:b/>
          <w:bCs/>
          <w:color w:val="1a1a1a"/>
          <w:sz w:val="36"/>
          <w:szCs w:val="36"/>
        </w:rPr>
        <w:t xml:space="preserve">1. System Architecture Overview</w:t>
      </w:r>
    </w:p>
    <w:p>
      <w:pPr>
        <w:spacing w:after="160" w:before="0" w:line="276"/>
        <w:jc w:val="left"/>
      </w:pPr>
      <w:r>
        <w:rPr>
          <w:rFonts w:ascii="Calibri" w:cs="Calibri" w:eastAsia="Calibri" w:hAnsi="Calibri"/>
          <w:b w:val="false"/>
          <w:bCs w:val="false"/>
          <w:i w:val="false"/>
          <w:iCs w:val="false"/>
          <w:sz w:val="22"/>
          <w:szCs w:val="22"/>
        </w:rPr>
        <w:t xml:space="preserve">The RTSS Sentinel platform is an on-premises security intelligence system that runs entirely on locally installed hardware at the client's facility. Every component of the system — video ingestion, AI inference, person tracking, identity management, event storage, and the management interface — operates on hardware physically located at the client's site. No data leaves the premises. No cloud services are required for any core function.</w:t>
      </w:r>
    </w:p>
    <w:p>
      <w:pPr>
        <w:spacing w:after="160" w:before="0" w:line="276"/>
        <w:jc w:val="left"/>
      </w:pPr>
      <w:r>
        <w:rPr>
          <w:rFonts w:ascii="Calibri" w:cs="Calibri" w:eastAsia="Calibri" w:hAnsi="Calibri"/>
          <w:b w:val="false"/>
          <w:bCs w:val="false"/>
          <w:i w:val="false"/>
          <w:iCs w:val="false"/>
          <w:sz w:val="22"/>
          <w:szCs w:val="22"/>
        </w:rPr>
        <w:t xml:space="preserve">The system connects to the client's existing IP camera infrastructure through industry-standard ONVIF and RTSP protocols. RTSS does not manufacture or supply cameras. The system is designed to work with any ONVIF-conformant IP camera from any manufacturer, which allows clients to retain their existing camera investments and add cameras from any vendor at any time.</w:t>
      </w:r>
    </w:p>
    <w:p>
      <w:pPr>
        <w:spacing w:after="160" w:before="0" w:line="276"/>
        <w:jc w:val="left"/>
      </w:pPr>
      <w:r>
        <w:rPr>
          <w:rFonts w:ascii="Calibri" w:cs="Calibri" w:eastAsia="Calibri" w:hAnsi="Calibri"/>
          <w:b w:val="false"/>
          <w:bCs w:val="false"/>
          <w:i w:val="false"/>
          <w:iCs w:val="false"/>
          <w:sz w:val="22"/>
          <w:szCs w:val="22"/>
        </w:rPr>
        <w:t xml:space="preserve">AI inference runs on NVIDIA Jetson Orin compute modules using TensorRT-optimized neural network models. The detection pipeline processes live video streams in real time, identifying and classifying people, vehicles, and objects of interest. A secondary re-identification pipeline tracks individuals across multiple cameras by comparing appearance-based embeddings, generating cross-camera movement timelines without relying on facial recognition.</w:t>
      </w:r>
    </w:p>
    <w:p>
      <w:pPr>
        <w:spacing w:after="160" w:before="0" w:line="276"/>
        <w:jc w:val="left"/>
      </w:pPr>
      <w:r>
        <w:rPr>
          <w:rFonts w:ascii="Calibri" w:cs="Calibri" w:eastAsia="Calibri" w:hAnsi="Calibri"/>
          <w:b w:val="false"/>
          <w:bCs w:val="false"/>
          <w:i w:val="false"/>
          <w:iCs w:val="false"/>
          <w:sz w:val="22"/>
          <w:szCs w:val="22"/>
        </w:rPr>
        <w:t xml:space="preserve">The platform is built on a shared software codebase with tier-specific features enabled through configuration. Residential, Municipal, and Enterprise deployments run the same software with different hardware, database backends, and feature sets activated. This architecture ensures that software updates, security patches, and model improvements apply uniformly across all deployed systems.</w:t>
      </w:r>
    </w:p>
    <w:p>
      <w:pPr>
        <w:pStyle w:val="Heading1"/>
        <w:pBdr>
          <w:bottom w:val="single" w:color="cc0000" w:sz="6"/>
        </w:pBdr>
        <w:spacing w:after="200" w:before="400"/>
      </w:pPr>
      <w:r>
        <w:rPr>
          <w:rFonts w:ascii="Calibri" w:cs="Calibri" w:eastAsia="Calibri" w:hAnsi="Calibri"/>
          <w:b/>
          <w:bCs/>
          <w:color w:val="1a1a1a"/>
          <w:sz w:val="36"/>
          <w:szCs w:val="36"/>
        </w:rPr>
        <w:t xml:space="preserve">2. Software Architecture</w:t>
      </w:r>
    </w:p>
    <w:p>
      <w:pPr>
        <w:spacing w:after="160" w:before="0" w:line="276"/>
        <w:jc w:val="left"/>
      </w:pPr>
      <w:r>
        <w:rPr>
          <w:rFonts w:ascii="Calibri" w:cs="Calibri" w:eastAsia="Calibri" w:hAnsi="Calibri"/>
          <w:b w:val="false"/>
          <w:bCs w:val="false"/>
          <w:i w:val="false"/>
          <w:iCs w:val="false"/>
          <w:sz w:val="22"/>
          <w:szCs w:val="22"/>
        </w:rPr>
        <w:t xml:space="preserve">The software stack is organized into five layers. Each layer handles a distinct function and communicates with adjacent layers through defined internal interfaces. This separation allows any single layer to be modified, upgraded, or replaced without affecting the others.</w:t>
      </w:r>
    </w:p>
    <w:p>
      <w:pPr>
        <w:pStyle w:val="Heading2"/>
        <w:spacing w:after="160" w:before="300"/>
      </w:pPr>
      <w:r>
        <w:rPr>
          <w:rFonts w:ascii="Calibri" w:cs="Calibri" w:eastAsia="Calibri" w:hAnsi="Calibri"/>
          <w:b/>
          <w:bCs/>
          <w:color w:val="333333"/>
          <w:sz w:val="28"/>
          <w:szCs w:val="28"/>
        </w:rPr>
        <w:t xml:space="preserve">2.1 Layer 1 — Hardware Abstraction Layer</w:t>
      </w:r>
    </w:p>
    <w:p>
      <w:pPr>
        <w:spacing w:after="160" w:before="0" w:line="276"/>
        <w:jc w:val="left"/>
      </w:pPr>
      <w:r>
        <w:rPr>
          <w:rFonts w:ascii="Calibri" w:cs="Calibri" w:eastAsia="Calibri" w:hAnsi="Calibri"/>
          <w:b w:val="false"/>
          <w:bCs w:val="false"/>
          <w:i w:val="false"/>
          <w:iCs w:val="false"/>
          <w:sz w:val="22"/>
          <w:szCs w:val="22"/>
        </w:rPr>
        <w:t xml:space="preserve">The Hardware Abstraction Layer (HAL) is the interface between the AI models and the underlying compute hardware. All layers above the HAL make identical function calls regardless of whether the inference hardware is an NVIDIA GPU, an NPU, or a future-generation processor. The HAL exposes three core operations: load a model, run inference on a video frame, and return hardware telemetry (GPU utilization, temperature, power draw, memory usage, inference throughput).</w:t>
      </w:r>
    </w:p>
    <w:p>
      <w:pPr>
        <w:spacing w:after="160" w:before="0" w:line="276"/>
        <w:jc w:val="left"/>
      </w:pPr>
      <w:r>
        <w:rPr>
          <w:rFonts w:ascii="Calibri" w:cs="Calibri" w:eastAsia="Calibri" w:hAnsi="Calibri"/>
          <w:b w:val="false"/>
          <w:bCs w:val="false"/>
          <w:i w:val="false"/>
          <w:iCs w:val="false"/>
          <w:sz w:val="22"/>
          <w:szCs w:val="22"/>
        </w:rPr>
        <w:t xml:space="preserve">The current production HAL backend uses NVIDIA TensorRT for optimized inference on Jetson Orin GPUs. Models are trained in PyTorch, exported to ONNX (Open Neural Network Exchange) format as the canonical storage format, and compiled into TensorRT engines optimized for the specific Jetson hardware variant at deployment. TensorRT compilation applies layer fusion, kernel auto-tuning, precision calibration (FP16/INT8), and memory optimization to maximize inference throughput within the Jetson's power envelope.</w:t>
      </w:r>
    </w:p>
    <w:p>
      <w:pPr>
        <w:spacing w:after="160" w:before="0" w:line="276"/>
        <w:jc w:val="left"/>
      </w:pPr>
      <w:r>
        <w:rPr>
          <w:rFonts w:ascii="Calibri" w:cs="Calibri" w:eastAsia="Calibri" w:hAnsi="Calibri"/>
          <w:b w:val="false"/>
          <w:bCs w:val="false"/>
          <w:i w:val="false"/>
          <w:iCs w:val="false"/>
          <w:sz w:val="22"/>
          <w:szCs w:val="22"/>
        </w:rPr>
        <w:t xml:space="preserve">The HAL is designed with a pluggable backend architecture. A second backend interface is defined for future integration with energy-based thermodynamic inference hardware. When next-generation compute modules become commercially available, the HAL backend is replaced while every layer above it remains unchanged. This design is the foundation of the platform's hardware upgrade path.</w:t>
      </w:r>
    </w:p>
    <w:p>
      <w:pPr>
        <w:pStyle w:val="Heading2"/>
        <w:spacing w:after="160" w:before="300"/>
      </w:pPr>
      <w:r>
        <w:rPr>
          <w:rFonts w:ascii="Calibri" w:cs="Calibri" w:eastAsia="Calibri" w:hAnsi="Calibri"/>
          <w:b/>
          <w:bCs/>
          <w:color w:val="333333"/>
          <w:sz w:val="28"/>
          <w:szCs w:val="28"/>
        </w:rPr>
        <w:t xml:space="preserve">2.2 Layer 2 — Video Ingestion Pipeline</w:t>
      </w:r>
    </w:p>
    <w:p>
      <w:pPr>
        <w:spacing w:after="160" w:before="0" w:line="276"/>
        <w:jc w:val="left"/>
      </w:pPr>
      <w:r>
        <w:rPr>
          <w:rFonts w:ascii="Calibri" w:cs="Calibri" w:eastAsia="Calibri" w:hAnsi="Calibri"/>
          <w:b w:val="false"/>
          <w:bCs w:val="false"/>
          <w:i w:val="false"/>
          <w:iCs w:val="false"/>
          <w:sz w:val="22"/>
          <w:szCs w:val="22"/>
        </w:rPr>
        <w:t xml:space="preserve">The ingestion layer discovers cameras on the client's network using ONVIF WS-Discovery, connects to each camera's RTSP video stream, and decodes incoming video frames using hardware-accelerated GStreamer pipelines with NVIDIA's NVDEC decoder on the Jetson's dedicated hardware video decoder.</w:t>
      </w:r>
    </w:p>
    <w:p>
      <w:pPr>
        <w:spacing w:after="160" w:before="0" w:line="276"/>
        <w:jc w:val="left"/>
      </w:pPr>
      <w:r>
        <w:rPr>
          <w:rFonts w:ascii="Calibri" w:cs="Calibri" w:eastAsia="Calibri" w:hAnsi="Calibri"/>
          <w:b w:val="false"/>
          <w:bCs w:val="false"/>
          <w:i w:val="false"/>
          <w:iCs w:val="false"/>
          <w:sz w:val="22"/>
          <w:szCs w:val="22"/>
        </w:rPr>
        <w:t xml:space="preserve">Each camera exposes two RTSP streams: a high-resolution main stream (typically 4K) and a lower-resolution sub stream (typically 720p or 1080p). The ingestion layer routes the sub stream to the detection engine for continuous real-time AI inference and captures frames from the main stream only when a detection event occurs, producing high-resolution snapshots and evidence clips without the bandwidth and compute cost of running inference on 4K video continuously.</w:t>
      </w:r>
    </w:p>
    <w:p>
      <w:pPr>
        <w:spacing w:after="160" w:before="0" w:line="276"/>
        <w:jc w:val="left"/>
      </w:pPr>
      <w:r>
        <w:rPr>
          <w:rFonts w:ascii="Calibri" w:cs="Calibri" w:eastAsia="Calibri" w:hAnsi="Calibri"/>
          <w:b w:val="false"/>
          <w:bCs w:val="false"/>
          <w:i w:val="false"/>
          <w:iCs w:val="false"/>
          <w:sz w:val="22"/>
          <w:szCs w:val="22"/>
        </w:rPr>
        <w:t xml:space="preserve">Stream health monitoring runs continuously. The system detects camera disconnections, frame drops, bitrate anomalies, and image quality degradation (obstruction, defocus, angle change). Camera disconnection triggers automatic reconnection with exponential backoff. Tampering events (covered or moved cameras) generate security alerts through the standard alert pipeline.</w:t>
      </w:r>
    </w:p>
    <w:p>
      <w:pPr>
        <w:spacing w:after="160" w:before="0" w:line="276"/>
        <w:jc w:val="left"/>
      </w:pPr>
      <w:r>
        <w:rPr>
          <w:rFonts w:ascii="Calibri" w:cs="Calibri" w:eastAsia="Calibri" w:hAnsi="Calibri"/>
          <w:b w:val="false"/>
          <w:bCs w:val="false"/>
          <w:i w:val="false"/>
          <w:iCs w:val="false"/>
          <w:sz w:val="22"/>
          <w:szCs w:val="22"/>
        </w:rPr>
        <w:t xml:space="preserve">For Municipal and Enterprise deployments, the ingestion layer uses the NVIDIA DeepStream SDK, a production-grade streaming analytics framework that batches frames from multiple cameras into optimized inference batches, maximizing GPU utilization across 16–64 simultaneous camera streams.</w:t>
      </w:r>
    </w:p>
    <w:p>
      <w:pPr>
        <w:pStyle w:val="Heading2"/>
        <w:spacing w:after="160" w:before="300"/>
      </w:pPr>
      <w:r>
        <w:rPr>
          <w:rFonts w:ascii="Calibri" w:cs="Calibri" w:eastAsia="Calibri" w:hAnsi="Calibri"/>
          <w:b/>
          <w:bCs/>
          <w:color w:val="333333"/>
          <w:sz w:val="28"/>
          <w:szCs w:val="28"/>
        </w:rPr>
        <w:t xml:space="preserve">2.3 Layer 3 — Detection and Tracking Engine</w:t>
      </w:r>
    </w:p>
    <w:p>
      <w:pPr>
        <w:spacing w:after="160" w:before="0" w:line="276"/>
        <w:jc w:val="left"/>
      </w:pPr>
      <w:r>
        <w:rPr>
          <w:rFonts w:ascii="Calibri" w:cs="Calibri" w:eastAsia="Calibri" w:hAnsi="Calibri"/>
          <w:b w:val="false"/>
          <w:bCs w:val="false"/>
          <w:i w:val="false"/>
          <w:iCs w:val="false"/>
          <w:sz w:val="22"/>
          <w:szCs w:val="22"/>
        </w:rPr>
        <w:t xml:space="preserve">The detection engine runs two AI model pipelines in sequence on every incoming video frame.</w:t>
      </w:r>
    </w:p>
    <w:p>
      <w:pPr>
        <w:pStyle w:val="Heading3"/>
        <w:spacing w:after="120" w:before="240"/>
      </w:pPr>
      <w:r>
        <w:rPr>
          <w:rFonts w:ascii="Calibri" w:cs="Calibri" w:eastAsia="Calibri" w:hAnsi="Calibri"/>
          <w:b/>
          <w:bCs/>
          <w:color w:val="444444"/>
          <w:sz w:val="24"/>
          <w:szCs w:val="24"/>
        </w:rPr>
        <w:t xml:space="preserve">2.3.1 Object Detection</w:t>
      </w:r>
    </w:p>
    <w:p>
      <w:pPr>
        <w:spacing w:after="160" w:before="0" w:line="276"/>
        <w:jc w:val="left"/>
      </w:pPr>
      <w:r>
        <w:rPr>
          <w:rFonts w:ascii="Calibri" w:cs="Calibri" w:eastAsia="Calibri" w:hAnsi="Calibri"/>
          <w:b w:val="false"/>
          <w:bCs w:val="false"/>
          <w:i w:val="false"/>
          <w:iCs w:val="false"/>
          <w:sz w:val="22"/>
          <w:szCs w:val="22"/>
        </w:rPr>
        <w:t xml:space="preserve">The primary detection model is YOLO26 (You Only Look Once, 26th generation), a single-stage real-time object detection neural network. YOLO26 processes each video frame in a single forward pass through the network and outputs a list of detected objects, each with a bounding box (pixel coordinates), class label (person, vehicle, animal, package, weapon), and confidence score (0.0 to 1.0). The model variant scales by tier: YOLO26n (nano, 6.2M parameters) for Residential, YOLO26s/m (small/medium, 11.1M–20.1M parameters) for Municipal, and YOLO26m/l (medium/large, 20.1M–44.1M parameters) for Enterprise. All variants are compiled to TensorRT FP16 engines and achieve real-time inference at 15+ frames per second per camera on the target hardware.</w:t>
      </w:r>
    </w:p>
    <w:p>
      <w:pPr>
        <w:pStyle w:val="Heading3"/>
        <w:spacing w:after="120" w:before="240"/>
      </w:pPr>
      <w:r>
        <w:rPr>
          <w:rFonts w:ascii="Calibri" w:cs="Calibri" w:eastAsia="Calibri" w:hAnsi="Calibri"/>
          <w:b/>
          <w:bCs/>
          <w:color w:val="444444"/>
          <w:sz w:val="24"/>
          <w:szCs w:val="24"/>
        </w:rPr>
        <w:t xml:space="preserve">2.3.2 Multi-Object Tracking</w:t>
      </w:r>
    </w:p>
    <w:p>
      <w:pPr>
        <w:spacing w:after="160" w:before="0" w:line="276"/>
        <w:jc w:val="left"/>
      </w:pPr>
      <w:r>
        <w:rPr>
          <w:rFonts w:ascii="Calibri" w:cs="Calibri" w:eastAsia="Calibri" w:hAnsi="Calibri"/>
          <w:b w:val="false"/>
          <w:bCs w:val="false"/>
          <w:i w:val="false"/>
          <w:iCs w:val="false"/>
          <w:sz w:val="22"/>
          <w:szCs w:val="22"/>
        </w:rPr>
        <w:t xml:space="preserve">ByteTrack, a multi-object tracking algorithm, processes the raw detections frame by frame and assigns persistent track IDs to each detected object. ByteTrack uses a Kalman filter to predict object motion between frames and the Hungarian algorithm to associate new detections with existing tracks. This maintains a consistent identity for each detected person or vehicle as they move across a single camera's field of view, even through brief occlusions (passing behind a pillar, momentarily obscured by another person). Track IDs persist as long as the object remains within the camera's view.</w:t>
      </w:r>
    </w:p>
    <w:p>
      <w:pPr>
        <w:pStyle w:val="Heading3"/>
        <w:spacing w:after="120" w:before="240"/>
      </w:pPr>
      <w:r>
        <w:rPr>
          <w:rFonts w:ascii="Calibri" w:cs="Calibri" w:eastAsia="Calibri" w:hAnsi="Calibri"/>
          <w:b/>
          <w:bCs/>
          <w:color w:val="444444"/>
          <w:sz w:val="24"/>
          <w:szCs w:val="24"/>
        </w:rPr>
        <w:t xml:space="preserve">2.3.3 Cross-Camera Re-Identification</w:t>
      </w:r>
    </w:p>
    <w:p>
      <w:pPr>
        <w:spacing w:after="160" w:before="0" w:line="276"/>
        <w:jc w:val="left"/>
      </w:pPr>
      <w:r>
        <w:rPr>
          <w:rFonts w:ascii="Calibri" w:cs="Calibri" w:eastAsia="Calibri" w:hAnsi="Calibri"/>
          <w:b w:val="false"/>
          <w:bCs w:val="false"/>
          <w:i w:val="false"/>
          <w:iCs w:val="false"/>
          <w:sz w:val="22"/>
          <w:szCs w:val="22"/>
        </w:rPr>
        <w:t xml:space="preserve">When a tracked person exits one camera's field of view and a candidate appears in another camera, the re-identification pipeline determines whether they are the same individual. This is accomplished through appearance-based embedding comparison, not facial recognition.</w:t>
      </w:r>
    </w:p>
    <w:p>
      <w:pPr>
        <w:spacing w:after="160" w:before="0" w:line="276"/>
        <w:jc w:val="left"/>
      </w:pPr>
      <w:r>
        <w:rPr>
          <w:rFonts w:ascii="Calibri" w:cs="Calibri" w:eastAsia="Calibri" w:hAnsi="Calibri"/>
          <w:b w:val="false"/>
          <w:bCs w:val="false"/>
          <w:i w:val="false"/>
          <w:iCs w:val="false"/>
          <w:sz w:val="22"/>
          <w:szCs w:val="22"/>
        </w:rPr>
        <w:t xml:space="preserve">OSNet (Omni-Scale Network), a convolutional neural network designed specifically for person re-identification, processes a cropped image of each detected person and produces a 512-dimensional numerical embedding vector that encodes the person's visual appearance: clothing color and texture, body proportions, carried objects, and gait characteristics. When a new person appears in a different camera, the system generates their embedding and compares it against a gallery of recent embeddings from other cameras using cosine similarity. If the similarity score exceeds a configurable threshold, the system links the two detections under a shared session token, establishing that the same individual was observed at both cameras.</w:t>
      </w:r>
    </w:p>
    <w:p>
      <w:pPr>
        <w:spacing w:after="160" w:before="0" w:line="276"/>
        <w:jc w:val="left"/>
      </w:pPr>
      <w:r>
        <w:rPr>
          <w:rFonts w:ascii="Calibri" w:cs="Calibri" w:eastAsia="Calibri" w:hAnsi="Calibri"/>
          <w:b w:val="false"/>
          <w:bCs w:val="false"/>
          <w:i w:val="false"/>
          <w:iCs w:val="false"/>
          <w:sz w:val="22"/>
          <w:szCs w:val="22"/>
        </w:rPr>
        <w:t xml:space="preserve">This approach operates entirely on whole-body appearance, not facial geometry. Under biometric privacy statutes such as the Illinois Biometric Information Privacy Act (BIPA), physical descriptions including clothing, body shape, and height are explicitly excluded from the definition of biometric identifiers. The system can track individuals across cameras without triggering biometric consent requirements.</w:t>
      </w:r>
    </w:p>
    <w:p>
      <w:pPr>
        <w:spacing w:after="160" w:before="0" w:line="276"/>
        <w:jc w:val="left"/>
      </w:pPr>
      <w:r>
        <w:rPr>
          <w:rFonts w:ascii="Calibri" w:cs="Calibri" w:eastAsia="Calibri" w:hAnsi="Calibri"/>
          <w:b w:val="false"/>
          <w:bCs w:val="false"/>
          <w:i w:val="false"/>
          <w:iCs w:val="false"/>
          <w:sz w:val="22"/>
          <w:szCs w:val="22"/>
        </w:rPr>
        <w:t xml:space="preserve">A facility topology model constrains re-identification matching using expected transit times between cameras based on the physical layout. If Camera 1 and Camera 3 are connected by a 30-second hallway, a candidate match between the two cameras is penalized if the time gap is 5 seconds or 10 minutes. This spatial constraint significantly reduces false matches in facilities with many cameras observing people in similar clothing.</w:t>
      </w:r>
    </w:p>
    <w:p>
      <w:pPr>
        <w:pStyle w:val="Heading3"/>
        <w:spacing w:after="120" w:before="240"/>
      </w:pPr>
      <w:r>
        <w:rPr>
          <w:rFonts w:ascii="Calibri" w:cs="Calibri" w:eastAsia="Calibri" w:hAnsi="Calibri"/>
          <w:b/>
          <w:bCs/>
          <w:color w:val="444444"/>
          <w:sz w:val="24"/>
          <w:szCs w:val="24"/>
        </w:rPr>
        <w:t xml:space="preserve">2.3.4 Zone Logic and Alert Generation</w:t>
      </w:r>
    </w:p>
    <w:p>
      <w:pPr>
        <w:spacing w:after="160" w:before="0" w:line="276"/>
        <w:jc w:val="left"/>
      </w:pPr>
      <w:r>
        <w:rPr>
          <w:rFonts w:ascii="Calibri" w:cs="Calibri" w:eastAsia="Calibri" w:hAnsi="Calibri"/>
          <w:b w:val="false"/>
          <w:bCs w:val="false"/>
          <w:i w:val="false"/>
          <w:iCs w:val="false"/>
          <w:sz w:val="22"/>
          <w:szCs w:val="22"/>
        </w:rPr>
        <w:t xml:space="preserve">Operators define detection zones as polygons overlaid on each camera's field of view through the management interface. Each zone has a type (restricted, monitored, access point, perimeter), a schedule (active hours), and a list of detection classes that trigger alerts. When a detection's bounding box center falls within a defined zone and matches the zone's class filter and schedule, the system generates an alert with a severity level determined by the zone type. Restricted zone violations generate critical alerts. Perimeter detections generate warnings. Monitored zones generate informational events. All zone evaluations use a ray-casting point-in-polygon algorithm.</w:t>
      </w:r>
    </w:p>
    <w:p>
      <w:pPr>
        <w:pStyle w:val="Heading2"/>
        <w:spacing w:after="160" w:before="300"/>
      </w:pPr>
      <w:r>
        <w:rPr>
          <w:rFonts w:ascii="Calibri" w:cs="Calibri" w:eastAsia="Calibri" w:hAnsi="Calibri"/>
          <w:b/>
          <w:bCs/>
          <w:color w:val="333333"/>
          <w:sz w:val="28"/>
          <w:szCs w:val="28"/>
        </w:rPr>
        <w:t xml:space="preserve">2.4 Layer 3.5 — Identity Manager</w:t>
      </w:r>
    </w:p>
    <w:p>
      <w:pPr>
        <w:spacing w:after="160" w:before="0" w:line="276"/>
        <w:jc w:val="left"/>
      </w:pPr>
      <w:r>
        <w:rPr>
          <w:rFonts w:ascii="Calibri" w:cs="Calibri" w:eastAsia="Calibri" w:hAnsi="Calibri"/>
          <w:b w:val="false"/>
          <w:bCs w:val="false"/>
          <w:i w:val="false"/>
          <w:iCs w:val="false"/>
          <w:sz w:val="22"/>
          <w:szCs w:val="22"/>
        </w:rPr>
        <w:t xml:space="preserve">The Identity Manager links AI detections to known individuals, creating a persistent per-person record of observed activity across all cameras and access points.</w:t>
      </w:r>
    </w:p>
    <w:p>
      <w:pPr>
        <w:pStyle w:val="Heading3"/>
        <w:spacing w:after="120" w:before="240"/>
      </w:pPr>
      <w:r>
        <w:rPr>
          <w:rFonts w:ascii="Calibri" w:cs="Calibri" w:eastAsia="Calibri" w:hAnsi="Calibri"/>
          <w:b/>
          <w:bCs/>
          <w:color w:val="444444"/>
          <w:sz w:val="24"/>
          <w:szCs w:val="24"/>
        </w:rPr>
        <w:t xml:space="preserve">2.4.1 Enrollment Methods</w:t>
      </w:r>
    </w:p>
    <w:p>
      <w:pPr>
        <w:spacing w:after="160" w:before="0" w:line="276"/>
        <w:jc w:val="left"/>
      </w:pPr>
      <w:r>
        <w:rPr>
          <w:rFonts w:ascii="Calibri" w:cs="Calibri" w:eastAsia="Calibri" w:hAnsi="Calibri"/>
          <w:b w:val="false"/>
          <w:bCs w:val="false"/>
          <w:i w:val="false"/>
          <w:iCs w:val="false"/>
          <w:sz w:val="22"/>
          <w:szCs w:val="22"/>
        </w:rPr>
        <w:t xml:space="preserve">Identity enrollment is the process of associating a real-world identity (name, badge number, department, role) with one or more appearance embeddings in the system's gallery.</w:t>
      </w:r>
    </w:p>
    <w:p>
      <w:pPr>
        <w:spacing w:after="160" w:before="0" w:line="276"/>
        <w:jc w:val="left"/>
      </w:pPr>
      <w:r>
        <w:rPr>
          <w:rFonts w:ascii="Calibri" w:cs="Calibri" w:eastAsia="Calibri" w:hAnsi="Calibri"/>
          <w:b/>
          <w:bCs/>
          <w:i w:val="false"/>
          <w:iCs w:val="false"/>
          <w:sz w:val="22"/>
          <w:szCs w:val="22"/>
        </w:rPr>
        <w:t xml:space="preserve">Manual enrollment: </w:t>
      </w:r>
      <w:r>
        <w:rPr>
          <w:rFonts w:ascii="Calibri" w:cs="Calibri" w:eastAsia="Calibri" w:hAnsi="Calibri"/>
          <w:b w:val="false"/>
          <w:bCs w:val="false"/>
          <w:i w:val="false"/>
          <w:iCs w:val="false"/>
          <w:sz w:val="22"/>
          <w:szCs w:val="22"/>
        </w:rPr>
        <w:t xml:space="preserve">An authorized operator selects a detection on the live view or in the event history and assigns a name and identity attributes. The detection's appearance embedding becomes a reference embedding for that individual.</w:t>
      </w:r>
    </w:p>
    <w:p>
      <w:pPr>
        <w:spacing w:after="160" w:before="0" w:line="276"/>
        <w:jc w:val="left"/>
      </w:pPr>
      <w:r>
        <w:rPr>
          <w:rFonts w:ascii="Calibri" w:cs="Calibri" w:eastAsia="Calibri" w:hAnsi="Calibri"/>
          <w:b/>
          <w:bCs/>
          <w:i w:val="false"/>
          <w:iCs w:val="false"/>
          <w:sz w:val="22"/>
          <w:szCs w:val="22"/>
        </w:rPr>
        <w:t xml:space="preserve">Credential correlation (Municipal/Enterprise): </w:t>
      </w:r>
      <w:r>
        <w:rPr>
          <w:rFonts w:ascii="Calibri" w:cs="Calibri" w:eastAsia="Calibri" w:hAnsi="Calibri"/>
          <w:b w:val="false"/>
          <w:bCs w:val="false"/>
          <w:i w:val="false"/>
          <w:iCs w:val="false"/>
          <w:sz w:val="22"/>
          <w:szCs w:val="22"/>
        </w:rPr>
        <w:t xml:space="preserve">When a badge event occurs at an access-controlled door, the system automatically links the simultaneous person detection at that door's camera to the badge holder's identity from the access control system. This is the primary automated enrollment method and does not involve biometric computation — identity is established through the credential, not through a scan of the body.</w:t>
      </w:r>
    </w:p>
    <w:p>
      <w:pPr>
        <w:spacing w:after="160" w:before="0" w:line="276"/>
        <w:jc w:val="left"/>
      </w:pPr>
      <w:r>
        <w:rPr>
          <w:rFonts w:ascii="Calibri" w:cs="Calibri" w:eastAsia="Calibri" w:hAnsi="Calibri"/>
          <w:b/>
          <w:bCs/>
          <w:i w:val="false"/>
          <w:iCs w:val="false"/>
          <w:sz w:val="22"/>
          <w:szCs w:val="22"/>
        </w:rPr>
        <w:t xml:space="preserve">Badge photo enrollment (Municipal/Enterprise): </w:t>
      </w:r>
      <w:r>
        <w:rPr>
          <w:rFonts w:ascii="Calibri" w:cs="Calibri" w:eastAsia="Calibri" w:hAnsi="Calibri"/>
          <w:b w:val="false"/>
          <w:bCs w:val="false"/>
          <w:i w:val="false"/>
          <w:iCs w:val="false"/>
          <w:sz w:val="22"/>
          <w:szCs w:val="22"/>
        </w:rPr>
        <w:t xml:space="preserve">Employee badge photos are imported from the client's access control system or HR directory. The system generates initial reference embeddings from these photos. Embeddings are refined against real-world detections during the first days of operation as the system correlates badge events with camera detections under actual lighting conditions.</w:t>
      </w:r>
    </w:p>
    <w:p>
      <w:pPr>
        <w:spacing w:after="160" w:before="0" w:line="276"/>
        <w:jc w:val="left"/>
      </w:pPr>
      <w:r>
        <w:rPr>
          <w:rFonts w:ascii="Calibri" w:cs="Calibri" w:eastAsia="Calibri" w:hAnsi="Calibri"/>
          <w:b/>
          <w:bCs/>
          <w:i w:val="false"/>
          <w:iCs w:val="false"/>
          <w:sz w:val="22"/>
          <w:szCs w:val="22"/>
        </w:rPr>
        <w:t xml:space="preserve">HR system integration (Enterprise): </w:t>
      </w:r>
      <w:r>
        <w:rPr>
          <w:rFonts w:ascii="Calibri" w:cs="Calibri" w:eastAsia="Calibri" w:hAnsi="Calibri"/>
          <w:b w:val="false"/>
          <w:bCs w:val="false"/>
          <w:i w:val="false"/>
          <w:iCs w:val="false"/>
          <w:sz w:val="22"/>
          <w:szCs w:val="22"/>
        </w:rPr>
        <w:t xml:space="preserve">Automated bulk enrollment from enterprise HRIS platforms (Workday, SAP SuccessFactors, BambooHR, ADP) via API or CSV import. New hires are automatically enrolled. Terminated employees are automatically deactivated.</w:t>
      </w:r>
    </w:p>
    <w:p>
      <w:pPr>
        <w:pStyle w:val="Heading3"/>
        <w:spacing w:after="120" w:before="240"/>
      </w:pPr>
      <w:r>
        <w:rPr>
          <w:rFonts w:ascii="Calibri" w:cs="Calibri" w:eastAsia="Calibri" w:hAnsi="Calibri"/>
          <w:b/>
          <w:bCs/>
          <w:color w:val="444444"/>
          <w:sz w:val="24"/>
          <w:szCs w:val="24"/>
        </w:rPr>
        <w:t xml:space="preserve">2.4.2 Per-Person Activity Log</w:t>
      </w:r>
    </w:p>
    <w:p>
      <w:pPr>
        <w:spacing w:after="160" w:before="0" w:line="276"/>
        <w:jc w:val="left"/>
      </w:pPr>
      <w:r>
        <w:rPr>
          <w:rFonts w:ascii="Calibri" w:cs="Calibri" w:eastAsia="Calibri" w:hAnsi="Calibri"/>
          <w:b w:val="false"/>
          <w:bCs w:val="false"/>
          <w:i w:val="false"/>
          <w:iCs w:val="false"/>
          <w:sz w:val="22"/>
          <w:szCs w:val="22"/>
        </w:rPr>
        <w:t xml:space="preserve">Every detection, camera transition, zone entry, door event, badge event, and alert associated with an identified individual is indexed under their persistent identity token (UUID) with a timestamp, camera ID, location, confidence score, and a JPEG thumbnail. This creates a centralized, queryable, chronological record of that person's observed activity across all cameras and buildings in the system. Operators can query the log by person, by time range, by camera, by zone, or by event type.</w:t>
      </w:r>
    </w:p>
    <w:p>
      <w:pPr>
        <w:spacing w:after="160" w:before="0" w:line="276"/>
        <w:jc w:val="left"/>
      </w:pPr>
      <w:r>
        <w:rPr>
          <w:rFonts w:ascii="Calibri" w:cs="Calibri" w:eastAsia="Calibri" w:hAnsi="Calibri"/>
          <w:b w:val="false"/>
          <w:bCs w:val="false"/>
          <w:i w:val="false"/>
          <w:iCs w:val="false"/>
          <w:sz w:val="22"/>
          <w:szCs w:val="22"/>
        </w:rPr>
        <w:t xml:space="preserve">Unidentified individuals are tracked as anonymous sessions with a temporary token. If the system later identifies the person (through a subsequent badge event, operator tagging, or other enrollment method), the temporary token is retroactively merged with the permanent identity token and all prior session events are attributed to that individual's record.</w:t>
      </w:r>
    </w:p>
    <w:p>
      <w:pPr>
        <w:pStyle w:val="Heading2"/>
        <w:spacing w:after="160" w:before="300"/>
      </w:pPr>
      <w:r>
        <w:rPr>
          <w:rFonts w:ascii="Calibri" w:cs="Calibri" w:eastAsia="Calibri" w:hAnsi="Calibri"/>
          <w:b/>
          <w:bCs/>
          <w:color w:val="333333"/>
          <w:sz w:val="28"/>
          <w:szCs w:val="28"/>
        </w:rPr>
        <w:t xml:space="preserve">2.5 Layer 4 — Intelligence Engine</w:t>
      </w:r>
    </w:p>
    <w:p>
      <w:pPr>
        <w:spacing w:after="160" w:before="0" w:line="276"/>
        <w:jc w:val="left"/>
      </w:pPr>
      <w:r>
        <w:rPr>
          <w:rFonts w:ascii="Calibri" w:cs="Calibri" w:eastAsia="Calibri" w:hAnsi="Calibri"/>
          <w:b w:val="false"/>
          <w:bCs w:val="false"/>
          <w:i w:val="false"/>
          <w:iCs w:val="false"/>
          <w:sz w:val="22"/>
          <w:szCs w:val="22"/>
        </w:rPr>
        <w:t xml:space="preserve">The intelligence engine transforms raw detection events into actionable security information.</w:t>
      </w:r>
    </w:p>
    <w:p>
      <w:pPr>
        <w:spacing w:after="160" w:before="0" w:line="276"/>
        <w:jc w:val="left"/>
      </w:pPr>
      <w:r>
        <w:rPr>
          <w:rFonts w:ascii="Calibri" w:cs="Calibri" w:eastAsia="Calibri" w:hAnsi="Calibri"/>
          <w:b/>
          <w:bCs/>
          <w:i w:val="false"/>
          <w:iCs w:val="false"/>
          <w:sz w:val="22"/>
          <w:szCs w:val="22"/>
        </w:rPr>
        <w:t xml:space="preserve">Pattern-of-life analysis: </w:t>
      </w:r>
      <w:r>
        <w:rPr>
          <w:rFonts w:ascii="Calibri" w:cs="Calibri" w:eastAsia="Calibri" w:hAnsi="Calibri"/>
          <w:b w:val="false"/>
          <w:bCs w:val="false"/>
          <w:i w:val="false"/>
          <w:iCs w:val="false"/>
          <w:sz w:val="22"/>
          <w:szCs w:val="22"/>
        </w:rPr>
        <w:t xml:space="preserve">The system learns baseline activity patterns for each camera and zone by aggregating detection events over a configurable learning window (default four weeks). It calculates the mean and standard deviation of detection counts per class per hour-of-week slot (168 hourly slots covering a full week). When current activity deviates from the learned baseline by more than a configurable sigma threshold, the system generates an anomaly alert. Example: a loading dock that typically sees 3–5 vehicle arrivals between 6:00 and 8:00 AM generates an alert when 15 vehicles arrive by 7:00 AM.</w:t>
      </w:r>
    </w:p>
    <w:p>
      <w:pPr>
        <w:spacing w:after="160" w:before="0" w:line="276"/>
        <w:jc w:val="left"/>
      </w:pPr>
      <w:r>
        <w:rPr>
          <w:rFonts w:ascii="Calibri" w:cs="Calibri" w:eastAsia="Calibri" w:hAnsi="Calibri"/>
          <w:b/>
          <w:bCs/>
          <w:i w:val="false"/>
          <w:iCs w:val="false"/>
          <w:sz w:val="22"/>
          <w:szCs w:val="22"/>
        </w:rPr>
        <w:t xml:space="preserve">Cross-camera movement timelines: </w:t>
      </w:r>
      <w:r>
        <w:rPr>
          <w:rFonts w:ascii="Calibri" w:cs="Calibri" w:eastAsia="Calibri" w:hAnsi="Calibri"/>
          <w:b w:val="false"/>
          <w:bCs w:val="false"/>
          <w:i w:val="false"/>
          <w:iCs w:val="false"/>
          <w:sz w:val="22"/>
          <w:szCs w:val="22"/>
        </w:rPr>
        <w:t xml:space="preserve">The system reconstructs the physical path of a tracked individual across multiple cameras, producing a chronological sequence of camera observations with timestamps, transit times, and associated access events at each point.</w:t>
      </w:r>
    </w:p>
    <w:p>
      <w:pPr>
        <w:spacing w:after="160" w:before="0" w:line="276"/>
        <w:jc w:val="left"/>
      </w:pPr>
      <w:r>
        <w:rPr>
          <w:rFonts w:ascii="Calibri" w:cs="Calibri" w:eastAsia="Calibri" w:hAnsi="Calibri"/>
          <w:b/>
          <w:bCs/>
          <w:i w:val="false"/>
          <w:iCs w:val="false"/>
          <w:sz w:val="22"/>
          <w:szCs w:val="22"/>
        </w:rPr>
        <w:t xml:space="preserve">Access event correlation: </w:t>
      </w:r>
      <w:r>
        <w:rPr>
          <w:rFonts w:ascii="Calibri" w:cs="Calibri" w:eastAsia="Calibri" w:hAnsi="Calibri"/>
          <w:b w:val="false"/>
          <w:bCs w:val="false"/>
          <w:i w:val="false"/>
          <w:iCs w:val="false"/>
          <w:sz w:val="22"/>
          <w:szCs w:val="22"/>
        </w:rPr>
        <w:t xml:space="preserve">The system cross-references video detections at access-controlled doors with badge and credential events from the access control system. Discrepancies (badge event with no corresponding person detection, person detection with no corresponding badge event) are flagged as potential security events.</w:t>
      </w:r>
    </w:p>
    <w:p>
      <w:pPr>
        <w:spacing w:after="160" w:before="0" w:line="276"/>
        <w:jc w:val="left"/>
      </w:pPr>
      <w:r>
        <w:rPr>
          <w:rFonts w:ascii="Calibri" w:cs="Calibri" w:eastAsia="Calibri" w:hAnsi="Calibri"/>
          <w:b/>
          <w:bCs/>
          <w:i w:val="false"/>
          <w:iCs w:val="false"/>
          <w:sz w:val="22"/>
          <w:szCs w:val="22"/>
        </w:rPr>
        <w:t xml:space="preserve">Incident reconstruction: </w:t>
      </w:r>
      <w:r>
        <w:rPr>
          <w:rFonts w:ascii="Calibri" w:cs="Calibri" w:eastAsia="Calibri" w:hAnsi="Calibri"/>
          <w:b w:val="false"/>
          <w:bCs w:val="false"/>
          <w:i w:val="false"/>
          <w:iCs w:val="false"/>
          <w:sz w:val="22"/>
          <w:szCs w:val="22"/>
        </w:rPr>
        <w:t xml:space="preserve">When investigating a security event, operators can assemble a chronological timeline of all detection events, access events, and alarm events across all cameras and access points, filtered by time window, location, or specific individual. The timeline is exportable as a case file with chain-of-custody metadata (Municipal/Enterprise).</w:t>
      </w:r>
    </w:p>
    <w:p>
      <w:pPr>
        <w:spacing w:after="160" w:before="0" w:line="276"/>
        <w:jc w:val="left"/>
      </w:pPr>
      <w:r>
        <w:rPr>
          <w:rFonts w:ascii="Calibri" w:cs="Calibri" w:eastAsia="Calibri" w:hAnsi="Calibri"/>
          <w:b/>
          <w:bCs/>
          <w:i w:val="false"/>
          <w:iCs w:val="false"/>
          <w:sz w:val="22"/>
          <w:szCs w:val="22"/>
        </w:rPr>
        <w:t xml:space="preserve">Event database: </w:t>
      </w:r>
      <w:r>
        <w:rPr>
          <w:rFonts w:ascii="Calibri" w:cs="Calibri" w:eastAsia="Calibri" w:hAnsi="Calibri"/>
          <w:b w:val="false"/>
          <w:bCs w:val="false"/>
          <w:i w:val="false"/>
          <w:iCs w:val="false"/>
          <w:sz w:val="22"/>
          <w:szCs w:val="22"/>
        </w:rPr>
        <w:t xml:space="preserve">Residential deployments store events in SQLite (zero-configuration, single-file database). Municipal and Enterprise deployments use PostgreSQL with optional TimescaleDB extension for time-series optimization across millions of events.</w:t>
      </w:r>
    </w:p>
    <w:p>
      <w:pPr>
        <w:pStyle w:val="Heading2"/>
        <w:spacing w:after="160" w:before="300"/>
      </w:pPr>
      <w:r>
        <w:rPr>
          <w:rFonts w:ascii="Calibri" w:cs="Calibri" w:eastAsia="Calibri" w:hAnsi="Calibri"/>
          <w:b/>
          <w:bCs/>
          <w:color w:val="333333"/>
          <w:sz w:val="28"/>
          <w:szCs w:val="28"/>
        </w:rPr>
        <w:t xml:space="preserve">2.6 Layer 5 — Management Interface</w:t>
      </w:r>
    </w:p>
    <w:p>
      <w:pPr>
        <w:spacing w:after="160" w:before="0" w:line="276"/>
        <w:jc w:val="left"/>
      </w:pPr>
      <w:r>
        <w:rPr>
          <w:rFonts w:ascii="Calibri" w:cs="Calibri" w:eastAsia="Calibri" w:hAnsi="Calibri"/>
          <w:b w:val="false"/>
          <w:bCs w:val="false"/>
          <w:i w:val="false"/>
          <w:iCs w:val="false"/>
          <w:sz w:val="22"/>
          <w:szCs w:val="22"/>
        </w:rPr>
        <w:t xml:space="preserve">The management interface is a locally-hosted web application served from the RTSS appliance and accessible from any device on the client's network through a standard web browser. It is not a cloud application. No internet connection is required.</w:t>
      </w:r>
    </w:p>
    <w:p>
      <w:pPr>
        <w:spacing w:after="160" w:before="0" w:line="276"/>
        <w:jc w:val="left"/>
      </w:pPr>
      <w:r>
        <w:rPr>
          <w:rFonts w:ascii="Calibri" w:cs="Calibri" w:eastAsia="Calibri" w:hAnsi="Calibri"/>
          <w:b w:val="false"/>
          <w:bCs w:val="false"/>
          <w:i w:val="false"/>
          <w:iCs w:val="false"/>
          <w:sz w:val="22"/>
          <w:szCs w:val="22"/>
        </w:rPr>
        <w:t xml:space="preserve">The backend is built on FastAPI (Python), a high-performance asynchronous web framework. Real-time alert delivery uses WebSocket connections that push detection events to the dashboard as they occur without polling. The frontend is a React single-page application with role-based views, served as static files from the appliance.</w:t>
      </w:r>
    </w:p>
    <w:p>
      <w:pPr>
        <w:spacing w:after="160" w:before="0" w:line="276"/>
        <w:jc w:val="left"/>
      </w:pPr>
      <w:r>
        <w:rPr>
          <w:rFonts w:ascii="Calibri" w:cs="Calibri" w:eastAsia="Calibri" w:hAnsi="Calibri"/>
          <w:b w:val="false"/>
          <w:bCs w:val="false"/>
          <w:i w:val="false"/>
          <w:iCs w:val="false"/>
          <w:sz w:val="22"/>
          <w:szCs w:val="22"/>
        </w:rPr>
        <w:t xml:space="preserve">Core interface components include a live camera grid with AI overlay (bounding boxes, zone indicators, alert badges), a real-time alert feed with severity classification, a person directory with enrollment management and per-person timeline views, zone configuration (draw detection polygons directly on the camera view), an event history with search and filtering, system health monitoring (hardware telemetry, camera status, storage capacity), and report generation (daily and weekly PDF summaries).</w:t>
      </w:r>
    </w:p>
    <w:p>
      <w:pPr>
        <w:spacing w:after="160" w:before="0" w:line="276"/>
        <w:jc w:val="left"/>
      </w:pPr>
      <w:r>
        <w:rPr>
          <w:rFonts w:ascii="Calibri" w:cs="Calibri" w:eastAsia="Calibri" w:hAnsi="Calibri"/>
          <w:b w:val="false"/>
          <w:bCs w:val="false"/>
          <w:i w:val="false"/>
          <w:iCs w:val="false"/>
          <w:sz w:val="22"/>
          <w:szCs w:val="22"/>
        </w:rPr>
        <w:t xml:space="preserve">Remote access is provided through a WireGuard VPN tunnel (enterprise) or Tailscale mesh VPN (residential), both of which encrypt all traffic end-to-end. No ports are exposed to the public internet. No cloud relay is involved.</w:t>
      </w:r>
    </w:p>
    <w:p>
      <w:r>
        <w:br w:type="page"/>
      </w:r>
    </w:p>
    <w:p>
      <w:pPr>
        <w:pStyle w:val="Heading1"/>
        <w:pBdr>
          <w:bottom w:val="single" w:color="cc0000" w:sz="6"/>
        </w:pBdr>
        <w:spacing w:after="200" w:before="400"/>
      </w:pPr>
      <w:r>
        <w:rPr>
          <w:rFonts w:ascii="Calibri" w:cs="Calibri" w:eastAsia="Calibri" w:hAnsi="Calibri"/>
          <w:b/>
          <w:bCs/>
          <w:color w:val="1a1a1a"/>
          <w:sz w:val="36"/>
          <w:szCs w:val="36"/>
        </w:rPr>
        <w:t xml:space="preserve">3. Hardware Architecture</w:t>
      </w:r>
    </w:p>
    <w:p>
      <w:pPr>
        <w:pStyle w:val="Heading2"/>
        <w:spacing w:after="160" w:before="300"/>
      </w:pPr>
      <w:r>
        <w:rPr>
          <w:rFonts w:ascii="Calibri" w:cs="Calibri" w:eastAsia="Calibri" w:hAnsi="Calibri"/>
          <w:b/>
          <w:bCs/>
          <w:color w:val="333333"/>
          <w:sz w:val="28"/>
          <w:szCs w:val="28"/>
        </w:rPr>
        <w:t xml:space="preserve">3.1 Compute Hardware by Tier</w:t>
      </w:r>
    </w:p>
    <w:p>
      <w:pPr>
        <w:spacing w:after="160" w:before="0" w:line="276"/>
        <w:jc w:val="left"/>
      </w:pPr>
      <w:r>
        <w:rPr>
          <w:rFonts w:ascii="Calibri" w:cs="Calibri" w:eastAsia="Calibri" w:hAnsi="Calibri"/>
          <w:b w:val="false"/>
          <w:bCs w:val="false"/>
          <w:i w:val="false"/>
          <w:iCs w:val="false"/>
          <w:sz w:val="22"/>
          <w:szCs w:val="22"/>
        </w:rPr>
        <w:t xml:space="preserve">Each Sentinel tier uses a different NVIDIA Jetson Orin compute module, scaled to match the camera capacity and AI model complexity required by the deployment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8b0000"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Specification</w:t>
            </w:r>
          </w:p>
        </w:tc>
        <w:tc>
          <w:tcPr>
            <w:tcW w:type="dxa" w:w="2340"/>
            <w:shd w:fill="8b0000"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Residential</w:t>
            </w:r>
          </w:p>
        </w:tc>
        <w:tc>
          <w:tcPr>
            <w:tcW w:type="dxa" w:w="2340"/>
            <w:shd w:fill="8b0000"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Municipal</w:t>
            </w:r>
          </w:p>
        </w:tc>
        <w:tc>
          <w:tcPr>
            <w:tcW w:type="dxa" w:w="2340"/>
            <w:shd w:fill="8b0000"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Enterprise</w:t>
            </w:r>
          </w:p>
        </w:tc>
      </w:tr>
      <w:tr>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Compute Module</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Orin Nano Super</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AGX Orin 32GB</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AGX Orin 64GB</w:t>
            </w:r>
          </w:p>
        </w:tc>
      </w:tr>
      <w:tr>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AI Performance</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67 TOPS (INT8)</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200 TOPS (INT8)</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275 TOPS (INT8)</w:t>
            </w:r>
          </w:p>
        </w:tc>
      </w:tr>
      <w:tr>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System Memory</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8GB LPDDR5</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32GB LPDDR5</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64GB LPDDR5</w:t>
            </w:r>
          </w:p>
        </w:tc>
      </w:tr>
      <w:tr>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GPU Cores</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1024 CUDA</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2048 CUDA, 64 Tensor</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2048 CUDA, 64 Tensor</w:t>
            </w:r>
          </w:p>
        </w:tc>
      </w:tr>
      <w:tr>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CPU</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6-core Arm A78AE</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8-core Arm A78AE</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12-core Arm A78AE</w:t>
            </w:r>
          </w:p>
        </w:tc>
      </w:tr>
      <w:tr>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Power Envelope</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7–15W</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15–40W</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15–60W</w:t>
            </w:r>
          </w:p>
        </w:tc>
      </w:tr>
      <w:tr>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Camera Capacity</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1–8</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16–32 per unit</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32–64 per unit</w:t>
            </w:r>
          </w:p>
        </w:tc>
      </w:tr>
      <w:tr>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Detection Model</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YOLO26n</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YOLO26s/m</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YOLO26m/l + custom</w:t>
            </w:r>
          </w:p>
        </w:tc>
      </w:tr>
      <w:tr>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Re-ID Model</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OSNet x0.25</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OSNet x1.0</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OSNet x1.0 / AIN</w:t>
            </w:r>
          </w:p>
        </w:tc>
      </w:tr>
      <w:tr>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Primary Storage</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512GB NVMe</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2TB NVMe</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4TB NVMe</w:t>
            </w:r>
          </w:p>
        </w:tc>
      </w:tr>
      <w:tr>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Database</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SQLite</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PostgreSQL</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PostgreSQL + TimescaleDB</w:t>
            </w:r>
          </w:p>
        </w:tc>
      </w:tr>
      <w:tr>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Network</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1x GbE</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2x GbE (segregated)</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2x GbE + optional 10GbE</w:t>
            </w:r>
          </w:p>
        </w:tc>
      </w:tr>
      <w:tr>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Encryption</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Optional</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LUKS + TPM 2.0</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LUKS + TPM 2.0</w:t>
            </w:r>
          </w:p>
        </w:tc>
      </w:tr>
      <w:tr>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Redundancy</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None</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Optional standby unit</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Hot-standby failover</w:t>
            </w:r>
          </w:p>
        </w:tc>
      </w:tr>
    </w:tbl>
    <w:p>
      <w:pPr>
        <w:pStyle w:val="Heading2"/>
        <w:spacing w:after="160" w:before="300"/>
      </w:pPr>
      <w:r>
        <w:rPr>
          <w:rFonts w:ascii="Calibri" w:cs="Calibri" w:eastAsia="Calibri" w:hAnsi="Calibri"/>
          <w:b/>
          <w:bCs/>
          <w:color w:val="333333"/>
          <w:sz w:val="28"/>
          <w:szCs w:val="28"/>
        </w:rPr>
        <w:t xml:space="preserve">3.2 Camera and Sensor Compatibility</w:t>
      </w:r>
    </w:p>
    <w:p>
      <w:pPr>
        <w:spacing w:after="160" w:before="0" w:line="276"/>
        <w:jc w:val="left"/>
      </w:pPr>
      <w:r>
        <w:rPr>
          <w:rFonts w:ascii="Calibri" w:cs="Calibri" w:eastAsia="Calibri" w:hAnsi="Calibri"/>
          <w:b w:val="false"/>
          <w:bCs w:val="false"/>
          <w:i w:val="false"/>
          <w:iCs w:val="false"/>
          <w:sz w:val="22"/>
          <w:szCs w:val="22"/>
        </w:rPr>
        <w:t xml:space="preserve">The system connects to IP cameras through two industry-standard protocols.</w:t>
      </w:r>
    </w:p>
    <w:p>
      <w:pPr>
        <w:spacing w:after="160" w:before="0" w:line="276"/>
        <w:jc w:val="left"/>
      </w:pPr>
      <w:r>
        <w:rPr>
          <w:rFonts w:ascii="Calibri" w:cs="Calibri" w:eastAsia="Calibri" w:hAnsi="Calibri"/>
          <w:b/>
          <w:bCs/>
          <w:i w:val="false"/>
          <w:iCs w:val="false"/>
          <w:sz w:val="22"/>
          <w:szCs w:val="22"/>
        </w:rPr>
        <w:t xml:space="preserve">ONVIF (Open Network Video Interface Forum): </w:t>
      </w:r>
      <w:r>
        <w:rPr>
          <w:rFonts w:ascii="Calibri" w:cs="Calibri" w:eastAsia="Calibri" w:hAnsi="Calibri"/>
          <w:b w:val="false"/>
          <w:bCs w:val="false"/>
          <w:i w:val="false"/>
          <w:iCs w:val="false"/>
          <w:sz w:val="22"/>
          <w:szCs w:val="22"/>
        </w:rPr>
        <w:t xml:space="preserve">Profile S for live video streaming, Profile T for H.265 advanced streaming, Profile G for edge storage and playback retrieval, Profile M for metadata and analytics event sharing, and Profile A/C for access control integration (Municipal/Enterprise). ONVIF WS-Discovery enables automatic camera detection on the local network during system setup.</w:t>
      </w:r>
    </w:p>
    <w:p>
      <w:pPr>
        <w:spacing w:after="160" w:before="0" w:line="276"/>
        <w:jc w:val="left"/>
      </w:pPr>
      <w:r>
        <w:rPr>
          <w:rFonts w:ascii="Calibri" w:cs="Calibri" w:eastAsia="Calibri" w:hAnsi="Calibri"/>
          <w:b/>
          <w:bCs/>
          <w:i w:val="false"/>
          <w:iCs w:val="false"/>
          <w:sz w:val="22"/>
          <w:szCs w:val="22"/>
        </w:rPr>
        <w:t xml:space="preserve">RTSP (Real Time Streaming Protocol): </w:t>
      </w:r>
      <w:r>
        <w:rPr>
          <w:rFonts w:ascii="Calibri" w:cs="Calibri" w:eastAsia="Calibri" w:hAnsi="Calibri"/>
          <w:b w:val="false"/>
          <w:bCs w:val="false"/>
          <w:i w:val="false"/>
          <w:iCs w:val="false"/>
          <w:sz w:val="22"/>
          <w:szCs w:val="22"/>
        </w:rPr>
        <w:t xml:space="preserve">Direct RTSP connectivity for cameras that expose an RTSP endpoint without full ONVIF support. Dual-stream RTSP (main stream for recording, sub stream for inference) is the standard operating mode.</w:t>
      </w:r>
    </w:p>
    <w:p>
      <w:pPr>
        <w:spacing w:after="160" w:before="0" w:line="276"/>
        <w:jc w:val="left"/>
      </w:pPr>
      <w:r>
        <w:rPr>
          <w:rFonts w:ascii="Calibri" w:cs="Calibri" w:eastAsia="Calibri" w:hAnsi="Calibri"/>
          <w:b w:val="false"/>
          <w:bCs w:val="false"/>
          <w:i w:val="false"/>
          <w:iCs w:val="false"/>
          <w:sz w:val="22"/>
          <w:szCs w:val="22"/>
        </w:rPr>
        <w:t xml:space="preserve">Compatible camera manufacturers include, but are not limited to, Amcrest, Axis, Bosch, Hanwha, Reolink, Uniview, Lorex, Vivotek, and any other manufacturer that implements ONVIF Profile S. RTSS does not supply cameras. The system integrates with the client's existing camera infrastructure.</w:t>
      </w:r>
    </w:p>
    <w:p>
      <w:pPr>
        <w:spacing w:after="160" w:before="0" w:line="276"/>
        <w:jc w:val="left"/>
      </w:pPr>
      <w:r>
        <w:rPr>
          <w:rFonts w:ascii="Calibri" w:cs="Calibri" w:eastAsia="Calibri" w:hAnsi="Calibri"/>
          <w:b w:val="false"/>
          <w:bCs w:val="false"/>
          <w:i w:val="false"/>
          <w:iCs w:val="false"/>
          <w:sz w:val="22"/>
          <w:szCs w:val="22"/>
        </w:rPr>
        <w:t xml:space="preserve">Municipal and Enterprise deployments additionally support license-plate reader cameras, badge and credential readers (ONVIF Profile A/C, Lenel, AMAG, Genetec, HID), alarm panels, gate and barrier controllers, intercom systems (SIP), and environmental sensors (Modbus, MQTT, OPC-UA, REST API).</w:t>
      </w:r>
    </w:p>
    <w:p>
      <w:r>
        <w:br w:type="page"/>
      </w:r>
    </w:p>
    <w:p>
      <w:pPr>
        <w:pStyle w:val="Heading1"/>
        <w:pBdr>
          <w:bottom w:val="single" w:color="cc0000" w:sz="6"/>
        </w:pBdr>
        <w:spacing w:after="200" w:before="400"/>
      </w:pPr>
      <w:r>
        <w:rPr>
          <w:rFonts w:ascii="Calibri" w:cs="Calibri" w:eastAsia="Calibri" w:hAnsi="Calibri"/>
          <w:b/>
          <w:bCs/>
          <w:color w:val="1a1a1a"/>
          <w:sz w:val="36"/>
          <w:szCs w:val="36"/>
        </w:rPr>
        <w:t xml:space="preserve">4. Physical Deployment</w:t>
      </w:r>
    </w:p>
    <w:p>
      <w:pPr>
        <w:pStyle w:val="Heading2"/>
        <w:spacing w:after="160" w:before="300"/>
      </w:pPr>
      <w:r>
        <w:rPr>
          <w:rFonts w:ascii="Calibri" w:cs="Calibri" w:eastAsia="Calibri" w:hAnsi="Calibri"/>
          <w:b/>
          <w:bCs/>
          <w:color w:val="333333"/>
          <w:sz w:val="28"/>
          <w:szCs w:val="28"/>
        </w:rPr>
        <w:t xml:space="preserve">4.1 Sentinel Residential — Physical Layout</w:t>
      </w:r>
    </w:p>
    <w:p>
      <w:pPr>
        <w:spacing w:after="160" w:before="0" w:line="276"/>
        <w:jc w:val="left"/>
      </w:pPr>
      <w:r>
        <w:rPr>
          <w:rFonts w:ascii="Calibri" w:cs="Calibri" w:eastAsia="Calibri" w:hAnsi="Calibri"/>
          <w:b w:val="false"/>
          <w:bCs w:val="false"/>
          <w:i w:val="false"/>
          <w:iCs w:val="false"/>
          <w:sz w:val="22"/>
          <w:szCs w:val="22"/>
        </w:rPr>
        <w:t xml:space="preserve">The Residential system consists of a single compact appliance installed at the customer's property. The appliance is a sealed, fanless, tamper-evident enclosure approximately the size of a hardcover book. It mounts on a wall near the customer's network router or sits on a shelf in a utility closet.</w:t>
      </w:r>
    </w:p>
    <w:p>
      <w:pPr>
        <w:spacing w:after="160" w:before="0" w:line="276"/>
        <w:jc w:val="left"/>
      </w:pPr>
      <w:r>
        <w:rPr>
          <w:rFonts w:ascii="Calibri" w:cs="Calibri" w:eastAsia="Calibri" w:hAnsi="Calibri"/>
          <w:b w:val="false"/>
          <w:bCs w:val="false"/>
          <w:i w:val="false"/>
          <w:iCs w:val="false"/>
          <w:sz w:val="22"/>
          <w:szCs w:val="22"/>
        </w:rPr>
        <w:t xml:space="preserve">Physical connections:</w:t>
      </w:r>
    </w:p>
    <w:p>
      <w:pPr>
        <w:spacing w:after="160" w:before="0" w:line="276"/>
        <w:ind w:left="500"/>
        <w:jc w:val="left"/>
      </w:pPr>
      <w:r>
        <w:rPr>
          <w:rFonts w:ascii="Calibri" w:cs="Calibri" w:eastAsia="Calibri" w:hAnsi="Calibri"/>
          <w:b w:val="false"/>
          <w:bCs w:val="false"/>
          <w:i w:val="false"/>
          <w:iCs w:val="false"/>
          <w:sz w:val="22"/>
          <w:szCs w:val="22"/>
        </w:rPr>
        <w:t xml:space="preserve">(1) A single Ethernet cable connects the appliance to the customer's existing router or PoE switch. The appliance draws its network connection from this cable. It does not require Wi-Fi.</w:t>
      </w:r>
    </w:p>
    <w:p>
      <w:pPr>
        <w:spacing w:after="160" w:before="0" w:line="276"/>
        <w:ind w:left="500"/>
        <w:jc w:val="left"/>
      </w:pPr>
      <w:r>
        <w:rPr>
          <w:rFonts w:ascii="Calibri" w:cs="Calibri" w:eastAsia="Calibri" w:hAnsi="Calibri"/>
          <w:b w:val="false"/>
          <w:bCs w:val="false"/>
          <w:i w:val="false"/>
          <w:iCs w:val="false"/>
          <w:sz w:val="22"/>
          <w:szCs w:val="22"/>
        </w:rPr>
        <w:t xml:space="preserve">(2) A 12V DC power adapter connects to a standard wall outlet or to a UPS for power resilience. The appliance draws 10–15W, comparable to a small network switch.</w:t>
      </w:r>
    </w:p>
    <w:p>
      <w:pPr>
        <w:spacing w:after="160" w:before="0" w:line="276"/>
        <w:ind w:left="500"/>
        <w:jc w:val="left"/>
      </w:pPr>
      <w:r>
        <w:rPr>
          <w:rFonts w:ascii="Calibri" w:cs="Calibri" w:eastAsia="Calibri" w:hAnsi="Calibri"/>
          <w:b w:val="false"/>
          <w:bCs w:val="false"/>
          <w:i w:val="false"/>
          <w:iCs w:val="false"/>
          <w:sz w:val="22"/>
          <w:szCs w:val="22"/>
        </w:rPr>
        <w:t xml:space="preserve">(3) The customer's existing IP cameras connect to the same network switch or router. The cameras and the RTSS appliance communicate over the local Ethernet network. No new wiring is required between the appliance and the cameras — they only need to be on the same network.</w:t>
      </w:r>
    </w:p>
    <w:p>
      <w:pPr>
        <w:spacing w:after="160" w:before="0" w:line="276"/>
        <w:jc w:val="left"/>
      </w:pPr>
      <w:r>
        <w:rPr>
          <w:rFonts w:ascii="Calibri" w:cs="Calibri" w:eastAsia="Calibri" w:hAnsi="Calibri"/>
          <w:b w:val="false"/>
          <w:bCs w:val="false"/>
          <w:i w:val="false"/>
          <w:iCs w:val="false"/>
          <w:sz w:val="22"/>
          <w:szCs w:val="22"/>
        </w:rPr>
        <w:t xml:space="preserve">The appliance has no display, no keyboard, and no moving parts. After initial setup, all interaction occurs through the web-based management interface accessed from any device on the home network (phone, tablet, laptop). The setup process is a browser-based wizard that discovers cameras on the network, allows the owner to configure detection zones, and begins monitoring within approximately 30 minutes of power-on.</w:t>
      </w:r>
    </w:p>
    <w:p>
      <w:pPr>
        <w:pStyle w:val="Heading2"/>
        <w:spacing w:after="160" w:before="300"/>
      </w:pPr>
      <w:r>
        <w:rPr>
          <w:rFonts w:ascii="Calibri" w:cs="Calibri" w:eastAsia="Calibri" w:hAnsi="Calibri"/>
          <w:b/>
          <w:bCs/>
          <w:color w:val="333333"/>
          <w:sz w:val="28"/>
          <w:szCs w:val="28"/>
        </w:rPr>
        <w:t xml:space="preserve">4.2 Sentinel Municipal — Physical Layout</w:t>
      </w:r>
    </w:p>
    <w:p>
      <w:pPr>
        <w:spacing w:after="160" w:before="0" w:line="276"/>
        <w:jc w:val="left"/>
      </w:pPr>
      <w:r>
        <w:rPr>
          <w:rFonts w:ascii="Calibri" w:cs="Calibri" w:eastAsia="Calibri" w:hAnsi="Calibri"/>
          <w:b w:val="false"/>
          <w:bCs w:val="false"/>
          <w:i w:val="false"/>
          <w:iCs w:val="false"/>
          <w:sz w:val="22"/>
          <w:szCs w:val="22"/>
        </w:rPr>
        <w:t xml:space="preserve">The Municipal system uses one appliance per facility or building. Each appliance is a 1U half-rack or DIN-rail mount unit installed in the facility's server room, IT closet, or communications rack. The enclosure is tamper-evident with a locking front panel.</w:t>
      </w:r>
    </w:p>
    <w:p>
      <w:pPr>
        <w:spacing w:after="160" w:before="0" w:line="276"/>
        <w:jc w:val="left"/>
      </w:pPr>
      <w:r>
        <w:rPr>
          <w:rFonts w:ascii="Calibri" w:cs="Calibri" w:eastAsia="Calibri" w:hAnsi="Calibri"/>
          <w:b w:val="false"/>
          <w:bCs w:val="false"/>
          <w:i w:val="false"/>
          <w:iCs w:val="false"/>
          <w:sz w:val="22"/>
          <w:szCs w:val="22"/>
        </w:rPr>
        <w:t xml:space="preserve">Physical connections:</w:t>
      </w:r>
    </w:p>
    <w:p>
      <w:pPr>
        <w:spacing w:after="160" w:before="0" w:line="276"/>
        <w:ind w:left="500"/>
        <w:jc w:val="left"/>
      </w:pPr>
      <w:r>
        <w:rPr>
          <w:rFonts w:ascii="Calibri" w:cs="Calibri" w:eastAsia="Calibri" w:hAnsi="Calibri"/>
          <w:b w:val="false"/>
          <w:bCs w:val="false"/>
          <w:i w:val="false"/>
          <w:iCs w:val="false"/>
          <w:sz w:val="22"/>
          <w:szCs w:val="22"/>
        </w:rPr>
        <w:t xml:space="preserve">(1) Two Ethernet cables connect to two physically separate networks. The first connects to the camera network (a dedicated VLAN or physical network carrying only camera traffic). The second connects to the management network (the facility's administrative LAN where operators access the dashboard). This dual-NIC architecture ensures that camera traffic is physically segregated from management traffic.</w:t>
      </w:r>
    </w:p>
    <w:p>
      <w:pPr>
        <w:spacing w:after="160" w:before="0" w:line="276"/>
        <w:ind w:left="500"/>
        <w:jc w:val="left"/>
      </w:pPr>
      <w:r>
        <w:rPr>
          <w:rFonts w:ascii="Calibri" w:cs="Calibri" w:eastAsia="Calibri" w:hAnsi="Calibri"/>
          <w:b w:val="false"/>
          <w:bCs w:val="false"/>
          <w:i w:val="false"/>
          <w:iCs w:val="false"/>
          <w:sz w:val="22"/>
          <w:szCs w:val="22"/>
        </w:rPr>
        <w:t xml:space="preserve">(2) Dual 12V DC power inputs connect to the facility's UPS-backed power. Dual inputs provide redundancy — if one power feed fails, the appliance continues operating on the other.</w:t>
      </w:r>
    </w:p>
    <w:p>
      <w:pPr>
        <w:spacing w:after="160" w:before="0" w:line="276"/>
        <w:ind w:left="500"/>
        <w:jc w:val="left"/>
      </w:pPr>
      <w:r>
        <w:rPr>
          <w:rFonts w:ascii="Calibri" w:cs="Calibri" w:eastAsia="Calibri" w:hAnsi="Calibri"/>
          <w:b w:val="false"/>
          <w:bCs w:val="false"/>
          <w:i w:val="false"/>
          <w:iCs w:val="false"/>
          <w:sz w:val="22"/>
          <w:szCs w:val="22"/>
        </w:rPr>
        <w:t xml:space="preserve">(3) IP cameras throughout the facility connect to the camera network through existing PoE switches. License-plate readers, badge readers, door controllers, and alarm panels connect to the camera network or management network depending on their protocol.</w:t>
      </w:r>
    </w:p>
    <w:p>
      <w:pPr>
        <w:spacing w:after="160" w:before="0" w:line="276"/>
        <w:jc w:val="left"/>
      </w:pPr>
      <w:r>
        <w:rPr>
          <w:rFonts w:ascii="Calibri" w:cs="Calibri" w:eastAsia="Calibri" w:hAnsi="Calibri"/>
          <w:b w:val="false"/>
          <w:bCs w:val="false"/>
          <w:i w:val="false"/>
          <w:iCs w:val="false"/>
          <w:sz w:val="22"/>
          <w:szCs w:val="22"/>
        </w:rPr>
        <w:t xml:space="preserve">For multi-building deployments (a municipal campus, a school district, a courthouse complex), one M1 appliance is installed in each building. The appliances communicate over the municipality's existing LAN or WAN. One appliance or a dedicated server functions as the central management node, providing a unified dashboard, cross-building correlation, and a centralized identity gallery across all connected facilities.</w:t>
      </w:r>
    </w:p>
    <w:p>
      <w:pPr>
        <w:pStyle w:val="Heading2"/>
        <w:spacing w:after="160" w:before="300"/>
      </w:pPr>
      <w:r>
        <w:rPr>
          <w:rFonts w:ascii="Calibri" w:cs="Calibri" w:eastAsia="Calibri" w:hAnsi="Calibri"/>
          <w:b/>
          <w:bCs/>
          <w:color w:val="333333"/>
          <w:sz w:val="28"/>
          <w:szCs w:val="28"/>
        </w:rPr>
        <w:t xml:space="preserve">4.3 Sentinel Enterprise — Physical Layout</w:t>
      </w:r>
    </w:p>
    <w:p>
      <w:pPr>
        <w:spacing w:after="160" w:before="0" w:line="276"/>
        <w:jc w:val="left"/>
      </w:pPr>
      <w:r>
        <w:rPr>
          <w:rFonts w:ascii="Calibri" w:cs="Calibri" w:eastAsia="Calibri" w:hAnsi="Calibri"/>
          <w:b w:val="false"/>
          <w:bCs w:val="false"/>
          <w:i w:val="false"/>
          <w:iCs w:val="false"/>
          <w:sz w:val="22"/>
          <w:szCs w:val="22"/>
        </w:rPr>
        <w:t xml:space="preserve">The Enterprise system supports single-facility and multi-site deployments. Each physical site receives one or more E1 appliances installed in standard 19-inch server racks.</w:t>
      </w:r>
    </w:p>
    <w:p>
      <w:pPr>
        <w:spacing w:after="160" w:before="0" w:line="276"/>
        <w:jc w:val="left"/>
      </w:pPr>
      <w:r>
        <w:rPr>
          <w:rFonts w:ascii="Calibri" w:cs="Calibri" w:eastAsia="Calibri" w:hAnsi="Calibri"/>
          <w:b w:val="false"/>
          <w:bCs w:val="false"/>
          <w:i w:val="false"/>
          <w:iCs w:val="false"/>
          <w:sz w:val="22"/>
          <w:szCs w:val="22"/>
        </w:rPr>
        <w:t xml:space="preserve">Physical connections follow the same dual-NIC architecture as Municipal, with the addition of optional 10 Gigabit Ethernet (SFP+) for high-density camera environments where dozens of high-resolution streams converge on a single appliance.</w:t>
      </w:r>
    </w:p>
    <w:p>
      <w:pPr>
        <w:spacing w:after="160" w:before="0" w:line="276"/>
        <w:jc w:val="left"/>
      </w:pPr>
      <w:r>
        <w:rPr>
          <w:rFonts w:ascii="Calibri" w:cs="Calibri" w:eastAsia="Calibri" w:hAnsi="Calibri"/>
          <w:b w:val="false"/>
          <w:bCs w:val="false"/>
          <w:i w:val="false"/>
          <w:iCs w:val="false"/>
          <w:sz w:val="22"/>
          <w:szCs w:val="22"/>
        </w:rPr>
        <w:t xml:space="preserve">For large facilities with geographically distributed camera clusters (a warehouse campus with a loading dock zone, a parking structure, and a perimeter zone), satellite compute nodes (NVIDIA Jetson Orin Nano Super units) are deployed at each camera cluster. Satellite nodes perform first-pass detection and embedding extraction locally, then forward only metadata, embeddings, and event clips to the central E1 appliance over the site's internal network. This distributed architecture reduces backbone network bandwidth by 85–95% compared to streaming full video from every camera to a central location.</w:t>
      </w:r>
    </w:p>
    <w:p>
      <w:pPr>
        <w:spacing w:after="160" w:before="0" w:line="276"/>
        <w:jc w:val="left"/>
      </w:pPr>
      <w:r>
        <w:rPr>
          <w:rFonts w:ascii="Calibri" w:cs="Calibri" w:eastAsia="Calibri" w:hAnsi="Calibri"/>
          <w:b w:val="false"/>
          <w:bCs w:val="false"/>
          <w:i w:val="false"/>
          <w:iCs w:val="false"/>
          <w:sz w:val="22"/>
          <w:szCs w:val="22"/>
        </w:rPr>
        <w:t xml:space="preserve">For multi-site deployments, a Central Management Server (dedicated 2U rack server or virtual machine) is installed at the customer's primary data center or network operations center. This server hosts the centralized dashboard, cross-site correlation engine, unified identity gallery, and aggregated reporting. Each site operates independently if WAN connectivity is lost, with local failover maintaining full detection, alerting, and recording capability until connectivity is restored. The site's local identity gallery cache ensures enrolled individuals are recognized even during a WAN outage.</w:t>
      </w:r>
    </w:p>
    <w:p>
      <w:pPr>
        <w:spacing w:after="160" w:before="0" w:line="276"/>
        <w:jc w:val="left"/>
      </w:pPr>
      <w:r>
        <w:rPr>
          <w:rFonts w:ascii="Calibri" w:cs="Calibri" w:eastAsia="Calibri" w:hAnsi="Calibri"/>
          <w:b w:val="false"/>
          <w:bCs w:val="false"/>
          <w:i w:val="false"/>
          <w:iCs w:val="false"/>
          <w:sz w:val="22"/>
          <w:szCs w:val="22"/>
        </w:rPr>
        <w:t xml:space="preserve">Site-to-site connectivity uses the customer's existing WAN, MPLS, or encrypted VPN tunnels. RTSS does not require the customer to provision new network circuits between sites.</w:t>
      </w:r>
    </w:p>
    <w:p>
      <w:r>
        <w:br w:type="page"/>
      </w:r>
    </w:p>
    <w:p>
      <w:pPr>
        <w:pStyle w:val="Heading1"/>
        <w:pBdr>
          <w:bottom w:val="single" w:color="cc0000" w:sz="6"/>
        </w:pBdr>
        <w:spacing w:after="200" w:before="400"/>
      </w:pPr>
      <w:r>
        <w:rPr>
          <w:rFonts w:ascii="Calibri" w:cs="Calibri" w:eastAsia="Calibri" w:hAnsi="Calibri"/>
          <w:b/>
          <w:bCs/>
          <w:color w:val="1a1a1a"/>
          <w:sz w:val="36"/>
          <w:szCs w:val="36"/>
        </w:rPr>
        <w:t xml:space="preserve">5. Compliance and Security Architecture</w:t>
      </w:r>
    </w:p>
    <w:p>
      <w:pPr>
        <w:spacing w:after="160" w:before="0" w:line="276"/>
        <w:jc w:val="left"/>
      </w:pPr>
      <w:r>
        <w:rPr>
          <w:rFonts w:ascii="Calibri" w:cs="Calibri" w:eastAsia="Calibri" w:hAnsi="Calibri"/>
          <w:b w:val="false"/>
          <w:bCs w:val="false"/>
          <w:i w:val="false"/>
          <w:iCs w:val="false"/>
          <w:sz w:val="22"/>
          <w:szCs w:val="22"/>
        </w:rPr>
        <w:t xml:space="preserve">The Sentinel platform is designed with security as a foundational requirement, not an afterthought. The system processes sensitive surveillance data and identity information, and the architecture reflects that responsibility at every layer.</w:t>
      </w:r>
    </w:p>
    <w:p>
      <w:pPr>
        <w:pStyle w:val="Heading2"/>
        <w:spacing w:after="160" w:before="300"/>
      </w:pPr>
      <w:r>
        <w:rPr>
          <w:rFonts w:ascii="Calibri" w:cs="Calibri" w:eastAsia="Calibri" w:hAnsi="Calibri"/>
          <w:b/>
          <w:bCs/>
          <w:color w:val="333333"/>
          <w:sz w:val="28"/>
          <w:szCs w:val="28"/>
        </w:rPr>
        <w:t xml:space="preserve">5.1 Data Sovereignty</w:t>
      </w:r>
    </w:p>
    <w:p>
      <w:pPr>
        <w:spacing w:after="160" w:before="0" w:line="276"/>
        <w:jc w:val="left"/>
      </w:pPr>
      <w:r>
        <w:rPr>
          <w:rFonts w:ascii="Calibri" w:cs="Calibri" w:eastAsia="Calibri" w:hAnsi="Calibri"/>
          <w:b w:val="false"/>
          <w:bCs w:val="false"/>
          <w:i w:val="false"/>
          <w:iCs w:val="false"/>
          <w:sz w:val="22"/>
          <w:szCs w:val="22"/>
        </w:rPr>
        <w:t xml:space="preserve">All data — video frames, detection events, identity records, appearance embeddings, access logs, and audit trails — is processed and stored exclusively on hardware physically located at the client's premises. No data is transmitted to RTSS, to any cloud service, or to any third party. The client has complete physical and logical control over their data at all times.</w:t>
      </w:r>
    </w:p>
    <w:p>
      <w:pPr>
        <w:pStyle w:val="Heading2"/>
        <w:spacing w:after="160" w:before="300"/>
      </w:pPr>
      <w:r>
        <w:rPr>
          <w:rFonts w:ascii="Calibri" w:cs="Calibri" w:eastAsia="Calibri" w:hAnsi="Calibri"/>
          <w:b/>
          <w:bCs/>
          <w:color w:val="333333"/>
          <w:sz w:val="28"/>
          <w:szCs w:val="28"/>
        </w:rPr>
        <w:t xml:space="preserve">5.2 Encryption</w:t>
      </w:r>
    </w:p>
    <w:p>
      <w:pPr>
        <w:spacing w:after="160" w:before="0" w:line="276"/>
        <w:jc w:val="left"/>
      </w:pPr>
      <w:r>
        <w:rPr>
          <w:rFonts w:ascii="Calibri" w:cs="Calibri" w:eastAsia="Calibri" w:hAnsi="Calibri"/>
          <w:b w:val="false"/>
          <w:bCs w:val="false"/>
          <w:i w:val="false"/>
          <w:iCs w:val="false"/>
          <w:sz w:val="22"/>
          <w:szCs w:val="22"/>
        </w:rPr>
        <w:t xml:space="preserve">Municipal and Enterprise deployments use full-disk encryption (LUKS) on all storage volumes, ensuring that data at rest is protected even if the physical hardware is stolen. TPM 2.0 modules provide hardware-backed key storage and verified secure boot, preventing unauthorized firmware or software modification. All internal API communication and WebSocket connections use TLS 1.3 encryption in transit.</w:t>
      </w:r>
    </w:p>
    <w:p>
      <w:pPr>
        <w:pStyle w:val="Heading2"/>
        <w:spacing w:after="160" w:before="300"/>
      </w:pPr>
      <w:r>
        <w:rPr>
          <w:rFonts w:ascii="Calibri" w:cs="Calibri" w:eastAsia="Calibri" w:hAnsi="Calibri"/>
          <w:b/>
          <w:bCs/>
          <w:color w:val="333333"/>
          <w:sz w:val="28"/>
          <w:szCs w:val="28"/>
        </w:rPr>
        <w:t xml:space="preserve">5.3 Access Controls and Audit Logging</w:t>
      </w:r>
    </w:p>
    <w:p>
      <w:pPr>
        <w:spacing w:after="160" w:before="0" w:line="276"/>
        <w:jc w:val="left"/>
      </w:pPr>
      <w:r>
        <w:rPr>
          <w:rFonts w:ascii="Calibri" w:cs="Calibri" w:eastAsia="Calibri" w:hAnsi="Calibri"/>
          <w:b w:val="false"/>
          <w:bCs w:val="false"/>
          <w:i w:val="false"/>
          <w:iCs w:val="false"/>
          <w:sz w:val="22"/>
          <w:szCs w:val="22"/>
        </w:rPr>
        <w:t xml:space="preserve">The management interface enforces role-based access control with configurable permission granularity per facility, per camera, and per identity category. Municipal and Enterprise tiers support mandatory search justification — operators must enter a documented reason before querying person identity records or accessing individual activity logs. Every user action (search, view, export, enroll, modify, delete) is recorded in an immutable audit log with timestamp, user ID, and justification. This design aligns with FBI CJIS Security Policy requirements for law enforcement systems.</w:t>
      </w:r>
    </w:p>
    <w:p>
      <w:pPr>
        <w:pStyle w:val="Heading2"/>
        <w:spacing w:after="160" w:before="300"/>
      </w:pPr>
      <w:r>
        <w:rPr>
          <w:rFonts w:ascii="Calibri" w:cs="Calibri" w:eastAsia="Calibri" w:hAnsi="Calibri"/>
          <w:b/>
          <w:bCs/>
          <w:color w:val="333333"/>
          <w:sz w:val="28"/>
          <w:szCs w:val="28"/>
        </w:rPr>
        <w:t xml:space="preserve">5.4 Identity Data Protection</w:t>
      </w:r>
    </w:p>
    <w:p>
      <w:pPr>
        <w:spacing w:after="160" w:before="0" w:line="276"/>
        <w:jc w:val="left"/>
      </w:pPr>
      <w:r>
        <w:rPr>
          <w:rFonts w:ascii="Calibri" w:cs="Calibri" w:eastAsia="Calibri" w:hAnsi="Calibri"/>
          <w:b w:val="false"/>
          <w:bCs w:val="false"/>
          <w:i w:val="false"/>
          <w:iCs w:val="false"/>
          <w:sz w:val="22"/>
          <w:szCs w:val="22"/>
        </w:rPr>
        <w:t xml:space="preserve">Appearance embeddings are stored as mathematical vectors, not as images. Reference photos used for enrollment can be deleted independently of the generated embeddings. Per-person activity logs and identity records have configurable retention periods with automated deletion and audit trails. When an individual separates from the organization, their identity record can be deactivated (retained for historical queries but no longer actively matched) or fully deleted with cryptographic verification.</w:t>
      </w:r>
    </w:p>
    <w:p>
      <w:pPr>
        <w:spacing w:after="160" w:before="0" w:line="276"/>
        <w:jc w:val="left"/>
      </w:pPr>
      <w:r>
        <w:rPr>
          <w:rFonts w:ascii="Calibri" w:cs="Calibri" w:eastAsia="Calibri" w:hAnsi="Calibri"/>
          <w:b w:val="false"/>
          <w:bCs w:val="false"/>
          <w:i w:val="false"/>
          <w:iCs w:val="false"/>
          <w:sz w:val="22"/>
          <w:szCs w:val="22"/>
        </w:rPr>
        <w:t xml:space="preserve">An optional facial recognition module (disabled by default, Municipal/Enterprise only) is architecturally separated from the appearance-based re-identification system. It runs in a separate process with its own audit log, access controls, and consent tracking. It can be enabled or disabled per facility without affecting the core tracking capability. When activated, the system enforces jurisdictional consent requirements and maintains per-person consent records.</w:t>
      </w:r>
    </w:p>
    <w:p>
      <w:pPr>
        <w:pStyle w:val="Heading2"/>
        <w:spacing w:after="160" w:before="300"/>
      </w:pPr>
      <w:r>
        <w:rPr>
          <w:rFonts w:ascii="Calibri" w:cs="Calibri" w:eastAsia="Calibri" w:hAnsi="Calibri"/>
          <w:b/>
          <w:bCs/>
          <w:color w:val="333333"/>
          <w:sz w:val="28"/>
          <w:szCs w:val="28"/>
        </w:rPr>
        <w:t xml:space="preserve">5.5 Compliance Framework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8b0000"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Framework</w:t>
            </w:r>
          </w:p>
        </w:tc>
        <w:tc>
          <w:tcPr>
            <w:tcW w:type="dxa" w:w="2340"/>
            <w:shd w:fill="8b0000"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Residential</w:t>
            </w:r>
          </w:p>
        </w:tc>
        <w:tc>
          <w:tcPr>
            <w:tcW w:type="dxa" w:w="2340"/>
            <w:shd w:fill="8b0000"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Municipal</w:t>
            </w:r>
          </w:p>
        </w:tc>
        <w:tc>
          <w:tcPr>
            <w:tcW w:type="dxa" w:w="2340"/>
            <w:shd w:fill="8b0000" w:val="clear"/>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Enterprise</w:t>
            </w:r>
          </w:p>
        </w:tc>
      </w:tr>
      <w:tr>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CJIS Security Policy</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Aligned</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Aligned</w:t>
            </w:r>
          </w:p>
        </w:tc>
      </w:tr>
      <w:tr>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SOC 2 Type II</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Aligned</w:t>
            </w:r>
          </w:p>
        </w:tc>
      </w:tr>
      <w:tr>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HIPAA</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Configurable</w:t>
            </w:r>
          </w:p>
        </w:tc>
      </w:tr>
      <w:tr>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NIST 800-53</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Documented</w:t>
            </w:r>
          </w:p>
        </w:tc>
      </w:tr>
      <w:tr>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NDAA Section 889</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Compliant</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Compliant</w:t>
            </w:r>
          </w:p>
        </w:tc>
        <w:tc>
          <w:tcPr>
            <w:tcW w:type="dxa" w:w="2340"/>
            <w:shd w:fill="f5f5f5" w:val="clear"/>
            <w:tcMar>
              <w:top w:type="dxa" w:w="40"/>
              <w:left w:type="dxa" w:w="80"/>
              <w:bottom w:type="dxa" w:w="40"/>
              <w:right w:type="dxa" w:w="80"/>
            </w:tcMar>
          </w:tcPr>
          <w:p>
            <w:pPr>
              <w:spacing w:after="40" w:before="40"/>
            </w:pPr>
            <w:r>
              <w:rPr>
                <w:rFonts w:ascii="Calibri" w:cs="Calibri" w:eastAsia="Calibri" w:hAnsi="Calibri"/>
                <w:sz w:val="20"/>
                <w:szCs w:val="20"/>
              </w:rPr>
              <w:t xml:space="preserve">Compliant</w:t>
            </w:r>
          </w:p>
        </w:tc>
      </w:tr>
      <w:tr>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BIPA / Biometric Laws</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Not triggered</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Appearance-based (exempt)</w:t>
            </w:r>
          </w:p>
        </w:tc>
        <w:tc>
          <w:tcPr>
            <w:tcW w:type="dxa" w:w="2340"/>
            <w:tcMar>
              <w:top w:type="dxa" w:w="40"/>
              <w:left w:type="dxa" w:w="80"/>
              <w:bottom w:type="dxa" w:w="40"/>
              <w:right w:type="dxa" w:w="80"/>
            </w:tcMar>
          </w:tcPr>
          <w:p>
            <w:pPr>
              <w:spacing w:after="40" w:before="40"/>
            </w:pPr>
            <w:r>
              <w:rPr>
                <w:rFonts w:ascii="Calibri" w:cs="Calibri" w:eastAsia="Calibri" w:hAnsi="Calibri"/>
                <w:sz w:val="20"/>
                <w:szCs w:val="20"/>
              </w:rPr>
              <w:t xml:space="preserve">Appearance-based (exempt)</w:t>
            </w:r>
          </w:p>
        </w:tc>
      </w:tr>
    </w:tbl>
    <w:p>
      <w:r>
        <w:br w:type="page"/>
      </w:r>
    </w:p>
    <w:p>
      <w:pPr>
        <w:pStyle w:val="Heading1"/>
        <w:pBdr>
          <w:bottom w:val="single" w:color="cc0000" w:sz="6"/>
        </w:pBdr>
        <w:spacing w:after="200" w:before="400"/>
      </w:pPr>
      <w:r>
        <w:rPr>
          <w:rFonts w:ascii="Calibri" w:cs="Calibri" w:eastAsia="Calibri" w:hAnsi="Calibri"/>
          <w:b/>
          <w:bCs/>
          <w:color w:val="1a1a1a"/>
          <w:sz w:val="36"/>
          <w:szCs w:val="36"/>
        </w:rPr>
        <w:t xml:space="preserve">6. Upgrade Path and Future Hardware</w:t>
      </w:r>
    </w:p>
    <w:p>
      <w:pPr>
        <w:spacing w:after="160" w:before="0" w:line="276"/>
        <w:jc w:val="left"/>
      </w:pPr>
      <w:r>
        <w:rPr>
          <w:rFonts w:ascii="Calibri" w:cs="Calibri" w:eastAsia="Calibri" w:hAnsi="Calibri"/>
          <w:b w:val="false"/>
          <w:bCs w:val="false"/>
          <w:i w:val="false"/>
          <w:iCs w:val="false"/>
          <w:sz w:val="22"/>
          <w:szCs w:val="22"/>
        </w:rPr>
        <w:t xml:space="preserve">The Hardware Abstraction Layer is designed to support a transition to next-generation energy-efficient inference hardware without modifications to the detection engine, identity manager, intelligence engine, or management interface. Research and development is underway to express the platform's detection and re-identification models as energy-based probabilistic graphical models using thermodynamic computing frameworks. These models are trained in parallel with the current GPU-based models and are designed to produce equivalent detection outputs through a fundamentally different computational approach — probabilistic sampling rather than deterministic matrix multiplication.</w:t>
      </w:r>
    </w:p>
    <w:p>
      <w:pPr>
        <w:spacing w:after="160" w:before="0" w:line="276"/>
        <w:jc w:val="left"/>
      </w:pPr>
      <w:r>
        <w:rPr>
          <w:rFonts w:ascii="Calibri" w:cs="Calibri" w:eastAsia="Calibri" w:hAnsi="Calibri"/>
          <w:b w:val="false"/>
          <w:bCs w:val="false"/>
          <w:i w:val="false"/>
          <w:iCs w:val="false"/>
          <w:sz w:val="22"/>
          <w:szCs w:val="22"/>
        </w:rPr>
        <w:t xml:space="preserve">When next-generation inference hardware becomes commercially available, the upgrade process for deployed Sentinel systems is a physical swap of the compute module inside the RTSS appliance and a firmware update that activates the new HAL backend. The client experiences no change in functionality, no change in the management interface, and no interruption in service beyond the time required for the physical swap. The projected result is a significant reduction in inference power consumption while maintaining or improving detection accuracy and throughput.</w:t>
      </w:r>
    </w:p>
    <w:p>
      <w:pPr>
        <w:spacing w:after="160" w:before="0" w:line="276"/>
        <w:jc w:val="left"/>
      </w:pPr>
      <w:r>
        <w:rPr>
          <w:rFonts w:ascii="Calibri" w:cs="Calibri" w:eastAsia="Calibri" w:hAnsi="Calibri"/>
          <w:b w:val="false"/>
          <w:bCs w:val="false"/>
          <w:i w:val="false"/>
          <w:iCs w:val="false"/>
          <w:sz w:val="22"/>
          <w:szCs w:val="22"/>
        </w:rPr>
        <w:t xml:space="preserve">This upgrade path is a core architectural decision, not a future feature. The HAL abstraction, the ONNX model interchange format, and the pluggable backend design exist specifically to make this transition seamless when the hardware is ready.</w:t>
      </w:r>
    </w:p>
    <w:p>
      <w:pPr>
        <w:spacing w:before="800"/>
      </w:pPr>
    </w:p>
    <w:p>
      <w:pPr>
        <w:jc w:val="center"/>
      </w:pPr>
      <w:r>
        <w:rPr>
          <w:rFonts w:ascii="Calibri" w:cs="Calibri" w:eastAsia="Calibri" w:hAnsi="Calibri"/>
          <w:i/>
          <w:iCs/>
          <w:color w:val="999999"/>
          <w:sz w:val="18"/>
          <w:szCs w:val="18"/>
        </w:rPr>
        <w:t xml:space="preserve">Red Torch Security Solutions LLC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2026-07-27T16:06:59.391Z</dcterms:created>
  <dcterms:modified xsi:type="dcterms:W3CDTF">2026-07-27T16:06:59.392Z</dcterms:modified>
</cp:coreProperties>
</file>

<file path=docProps/custom.xml><?xml version="1.0" encoding="utf-8"?>
<Properties xmlns="http://schemas.openxmlformats.org/officeDocument/2006/custom-properties" xmlns:vt="http://schemas.openxmlformats.org/officeDocument/2006/docPropsVTypes"/>
</file>