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Источники и бюджет 10 000 ₽ — Монитор МИСБ</w:t>
      </w:r>
    </w:p>
    <w:p>
      <w:pPr/>
      <w:r>
        <w:t xml:space="preserve">Oct 11, 2026</w:t>
      </w:r>
      <w:r>
        <w:t xml:space="preserve"> · </w:t>
      </w:r>
      <w:r>
        <w:t xml:space="preserve">@Ron Baron</w:t>
      </w:r>
    </w:p>
    <w:p>
      <w:pPr>
        <w:pStyle w:val="Heading2"/>
      </w:pPr>
      <w:r>
        <w:t xml:space="preserve">Вывод</w:t>
      </w:r>
    </w:p>
    <w:p>
      <w:pPr/>
      <w:r>
        <w:t xml:space="preserve">Из 10 000 ₽ в месяц стоит тратить 6 000–7 500 ₽: ГосПлан (2 500 ₽ при оплате за год), TenderLand (около 2 100–3 000 ₽), TenderGuru «Стандарт» (около 1 100 ₽) и релей (300–900 ₽). Остаток держать в резерве, пока TenderLand не назовёт цену API.</w:t>
      </w:r>
    </w:p>
    <w:p>
      <w:pPr/>
      <w:r>
        <w:t xml:space="preserve">ГосПлан — первый в очереди: он дал около 40 % качественных лидов за 01–11.10, а 10.10 перестал отвечать, потому что закончился 7-дневный пробный доступ. Платные сервисы с самой высокой отдачей на рубль — ГосПлан по количеству и TenderLand по уникальности. Ничего не куплено.</w:t>
      </w:r>
    </w:p>
    <w:p>
      <w:pPr>
        <w:pStyle w:val="Heading2"/>
      </w:pPr>
      <w:r>
        <w:t xml:space="preserve">Состояние сбора</w:t>
      </w:r>
    </w:p>
    <w:p>
      <w:pPr/>
      <w:r>
        <w:t xml:space="preserve">Полный запуск 11.10, 16:16–16:40 UTC, прошёл на инструкции 6.31 (коммит 31d8658, </w:t>
      </w:r>
      <w:hyperlink r:id="rId3" w:history="1">
        <w:r>
          <w:rPr>
            <w:rStyle w:val="Hyperlink"/>
          </w:rPr>
          <w:t xml:space="preserve">PR #76</w:t>
        </w:r>
      </w:hyperlink>
      <w:r>
        <w:t xml:space="preserve">): починенные источники работают, не работает только ГосПлан.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Источник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Запуск 13:56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Запуск 16:16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Что изменено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РосТендер, 4 раздела и мероприятия</w:t>
            </w:r>
          </w:p>
        </w:tc>
        <w:tc>
          <w:tcPr>
            <w:tcW w:w="2340" w:type="dxa"/>
          </w:tcPr>
          <w:p>
            <w:pPr/>
            <w:r>
              <w:t xml:space="preserve">часть страниц потеряна</w:t>
            </w:r>
          </w:p>
        </w:tc>
        <w:tc>
          <w:tcPr>
            <w:tcW w:w="2340" w:type="dxa"/>
          </w:tcPr>
          <w:p>
            <w:pPr/>
            <w:r>
              <w:t xml:space="preserve">все страницы</w:t>
            </w:r>
          </w:p>
        </w:tc>
        <w:tc>
          <w:tcPr>
            <w:tcW w:w="2340" w:type="dxa"/>
          </w:tcPr>
          <w:p>
            <w:pPr/>
            <w:r>
              <w:t xml:space="preserve">пауза 40 с и повтор при обрыве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Комтендер</w:t>
            </w:r>
          </w:p>
        </w:tc>
        <w:tc>
          <w:tcPr>
            <w:tcW w:w="2340" w:type="dxa"/>
          </w:tcPr>
          <w:p>
            <w:pPr/>
            <w:r>
              <w:t xml:space="preserve">6 из 8</w:t>
            </w:r>
          </w:p>
        </w:tc>
        <w:tc>
          <w:tcPr>
            <w:tcW w:w="2340" w:type="dxa"/>
          </w:tcPr>
          <w:p>
            <w:pPr/>
            <w:r>
              <w:t xml:space="preserve">8 из 8</w:t>
            </w:r>
          </w:p>
        </w:tc>
        <w:tc>
          <w:tcPr>
            <w:tcW w:w="2340" w:type="dxa"/>
          </w:tcPr>
          <w:p>
            <w:pPr/>
            <w:r>
              <w:t xml:space="preserve">повтор при обрыве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B2B-Center</w:t>
            </w:r>
          </w:p>
        </w:tc>
        <w:tc>
          <w:tcPr>
            <w:tcW w:w="2340" w:type="dxa"/>
          </w:tcPr>
          <w:p>
            <w:pPr/>
            <w:r>
              <w:t xml:space="preserve">0 строк</w:t>
            </w:r>
          </w:p>
        </w:tc>
        <w:tc>
          <w:tcPr>
            <w:tcW w:w="2340" w:type="dxa"/>
          </w:tcPr>
          <w:p>
            <w:pPr/>
            <w:r>
              <w:t xml:space="preserve">10 из 11 страниц</w:t>
            </w:r>
          </w:p>
        </w:tc>
        <w:tc>
          <w:tcPr>
            <w:tcW w:w="2340" w:type="dxa"/>
          </w:tcPr>
          <w:p>
            <w:pPr/>
            <w:r>
              <w:t xml:space="preserve">чтение новой вёрстки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Магазин Ленобласти</w:t>
            </w:r>
          </w:p>
        </w:tc>
        <w:tc>
          <w:tcPr>
            <w:tcW w:w="2340" w:type="dxa"/>
          </w:tcPr>
          <w:p>
            <w:pPr/>
            <w:r>
              <w:t xml:space="preserve">не работал</w:t>
            </w:r>
          </w:p>
        </w:tc>
        <w:tc>
          <w:tcPr>
            <w:tcW w:w="2340" w:type="dxa"/>
          </w:tcPr>
          <w:p>
            <w:pPr/>
            <w:r>
              <w:t xml:space="preserve">20 строк</w:t>
            </w:r>
          </w:p>
        </w:tc>
        <w:tc>
          <w:tcPr>
            <w:tcW w:w="2340" w:type="dxa"/>
          </w:tcPr>
          <w:p>
            <w:pPr/>
            <w:r>
              <w:t xml:space="preserve">новый адрес списка, чтение скриптом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Бикотендер</w:t>
            </w:r>
          </w:p>
        </w:tc>
        <w:tc>
          <w:tcPr>
            <w:tcW w:w="2340" w:type="dxa"/>
          </w:tcPr>
          <w:p>
            <w:pPr/>
            <w:r>
              <w:t xml:space="preserve">5 из 6</w:t>
            </w:r>
          </w:p>
        </w:tc>
        <w:tc>
          <w:tcPr>
            <w:tcW w:w="2340" w:type="dxa"/>
          </w:tcPr>
          <w:p>
            <w:pPr/>
            <w:r>
              <w:t xml:space="preserve">5 из 5</w:t>
            </w:r>
          </w:p>
        </w:tc>
        <w:tc>
          <w:tcPr>
            <w:tcW w:w="2340" w:type="dxa"/>
          </w:tcPr>
          <w:p>
            <w:pPr/>
            <w:r>
              <w:t xml:space="preserve">убрана страница с проверкой на бота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goszakup.kz</w:t>
            </w:r>
          </w:p>
        </w:tc>
        <w:tc>
          <w:tcPr>
            <w:tcW w:w="2340" w:type="dxa"/>
          </w:tcPr>
          <w:p>
            <w:pPr/>
            <w:r>
              <w:t xml:space="preserve">не отвечал</w:t>
            </w:r>
          </w:p>
        </w:tc>
        <w:tc>
          <w:tcPr>
            <w:tcW w:w="2340" w:type="dxa"/>
          </w:tcPr>
          <w:p>
            <w:pPr/>
            <w:r>
              <w:t xml:space="preserve">работает</w:t>
            </w:r>
          </w:p>
        </w:tc>
        <w:tc>
          <w:tcPr>
            <w:tcW w:w="2340" w:type="dxa"/>
          </w:tcPr>
          <w:p>
            <w:pPr/>
            <w:r>
              <w:t xml:space="preserve">повтор при обрыве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ГосПлан, 12 этапов</w:t>
            </w:r>
          </w:p>
        </w:tc>
        <w:tc>
          <w:tcPr>
            <w:tcW w:w="2340" w:type="dxa"/>
          </w:tcPr>
          <w:p>
            <w:pPr/>
            <w:r>
              <w:t xml:space="preserve">403</w:t>
            </w:r>
          </w:p>
        </w:tc>
        <w:tc>
          <w:tcPr>
            <w:tcW w:w="2340" w:type="dxa"/>
          </w:tcPr>
          <w:p>
            <w:pPr/>
            <w:r>
              <w:t xml:space="preserve">403</w:t>
            </w:r>
          </w:p>
        </w:tc>
        <w:tc>
          <w:tcPr>
            <w:tcW w:w="2340" w:type="dxa"/>
          </w:tcPr>
          <w:p>
            <w:pPr/>
            <w:r>
              <w:t xml:space="preserve">нужна оплата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Смоленск, WEB-Торги-КС</w:t>
            </w:r>
          </w:p>
        </w:tc>
        <w:tc>
          <w:tcPr>
            <w:tcW w:w="2340" w:type="dxa"/>
          </w:tcPr>
          <w:p>
            <w:pPr/>
            <w:r>
              <w:t xml:space="preserve">403</w:t>
            </w:r>
          </w:p>
        </w:tc>
        <w:tc>
          <w:tcPr>
            <w:tcW w:w="2340" w:type="dxa"/>
          </w:tcPr>
          <w:p>
            <w:pPr/>
            <w:r>
              <w:t xml:space="preserve">403</w:t>
            </w:r>
          </w:p>
        </w:tc>
        <w:tc>
          <w:tcPr>
            <w:tcW w:w="2340" w:type="dxa"/>
          </w:tcPr>
          <w:p>
            <w:pPr/>
            <w:r>
              <w:t xml:space="preserve">сайт не пускает, кодом не исправить</w:t>
            </w:r>
          </w:p>
        </w:tc>
      </w:tr>
    </w:tbl>
    <w:p>
      <w:pPr/>
      <w:r>
        <w:t xml:space="preserve">Запуск 16:16 дал всего 4 новых лида: он шёл через 40 минут после предыдущего, в воскресенье.</w:t>
      </w:r>
    </w:p>
    <w:p>
      <w:pPr>
        <w:pStyle w:val="Heading2"/>
      </w:pPr>
      <w:r>
        <w:t xml:space="preserve">Анализ источников за 01–11.10</w:t>
      </w:r>
    </w:p>
    <w:p>
      <w:pPr/>
      <w:r>
        <w:t xml:space="preserve">ГосПлан дал 598 качественных лидов из 1 539; бесплатные источники вместе дали больше сильных лидов, чем любой платный. «Качественные» — открытые лиды ярусов ядро/ядро-общ, «сильные» — приоритет 40 и выше, «уникальные» — закупки, которые не нашёл ни один другой источник.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Источник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Качественные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Сильные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Уникальные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Цена, ₽/мес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Состояние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ГосПлан (ЕИС)</w:t>
            </w:r>
          </w:p>
        </w:tc>
        <w:tc>
          <w:tcPr>
            <w:tcW w:w="1560" w:type="dxa"/>
          </w:tcPr>
          <w:p>
            <w:pPr/>
            <w:r>
              <w:t xml:space="preserve">598</w:t>
            </w:r>
          </w:p>
        </w:tc>
        <w:tc>
          <w:tcPr>
            <w:tcW w:w="1560" w:type="dxa"/>
          </w:tcPr>
          <w:p>
            <w:pPr/>
            <w:r>
              <w:t xml:space="preserve">153</w:t>
            </w:r>
          </w:p>
        </w:tc>
        <w:tc>
          <w:tcPr>
            <w:tcW w:w="1560" w:type="dxa"/>
          </w:tcPr>
          <w:p>
            <w:pPr/>
            <w:r>
              <w:t xml:space="preserve">76 %</w:t>
            </w:r>
          </w:p>
        </w:tc>
        <w:tc>
          <w:tcPr>
            <w:tcW w:w="1560" w:type="dxa"/>
          </w:tcPr>
          <w:p>
            <w:pPr/>
            <w:r>
              <w:t xml:space="preserve">3 000, за год 2 500</w:t>
            </w:r>
          </w:p>
        </w:tc>
        <w:tc>
          <w:tcPr>
            <w:tcW w:w="1560" w:type="dxa"/>
          </w:tcPr>
          <w:p>
            <w:pPr/>
            <w:r>
              <w:t xml:space="preserve">не работает с 10.10: закончился пробный доступ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Свежий спрос (каналы)</w:t>
            </w:r>
          </w:p>
        </w:tc>
        <w:tc>
          <w:tcPr>
            <w:tcW w:w="1560" w:type="dxa"/>
          </w:tcPr>
          <w:p>
            <w:pPr/>
            <w:r>
              <w:t xml:space="preserve">161</w:t>
            </w:r>
          </w:p>
        </w:tc>
        <w:tc>
          <w:tcPr>
            <w:tcW w:w="1560" w:type="dxa"/>
          </w:tcPr>
          <w:p>
            <w:pPr/>
            <w:r>
              <w:t xml:space="preserve">49</w:t>
            </w:r>
          </w:p>
        </w:tc>
        <w:tc>
          <w:tcPr>
            <w:tcW w:w="1560" w:type="dxa"/>
          </w:tcPr>
          <w:p>
            <w:pPr/>
            <w:r>
              <w:t xml:space="preserve">100 %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работает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РосТендер, каталог</w:t>
            </w:r>
          </w:p>
        </w:tc>
        <w:tc>
          <w:tcPr>
            <w:tcW w:w="1560" w:type="dxa"/>
          </w:tcPr>
          <w:p>
            <w:pPr/>
            <w:r>
              <w:t xml:space="preserve">115</w:t>
            </w:r>
          </w:p>
        </w:tc>
        <w:tc>
          <w:tcPr>
            <w:tcW w:w="1560" w:type="dxa"/>
          </w:tcPr>
          <w:p>
            <w:pPr/>
            <w:r>
              <w:t xml:space="preserve">112</w:t>
            </w:r>
          </w:p>
        </w:tc>
        <w:tc>
          <w:tcPr>
            <w:tcW w:w="1560" w:type="dxa"/>
          </w:tcPr>
          <w:p>
            <w:pPr/>
            <w:r>
              <w:t xml:space="preserve">79 %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работает после исправления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Казахстан, порталы</w:t>
            </w:r>
          </w:p>
        </w:tc>
        <w:tc>
          <w:tcPr>
            <w:tcW w:w="1560" w:type="dxa"/>
          </w:tcPr>
          <w:p>
            <w:pPr/>
            <w:r>
              <w:t xml:space="preserve">110</w:t>
            </w:r>
          </w:p>
        </w:tc>
        <w:tc>
          <w:tcPr>
            <w:tcW w:w="1560" w:type="dxa"/>
          </w:tcPr>
          <w:p>
            <w:pPr/>
            <w:r>
              <w:t xml:space="preserve">61</w:t>
            </w:r>
          </w:p>
        </w:tc>
        <w:tc>
          <w:tcPr>
            <w:tcW w:w="1560" w:type="dxa"/>
          </w:tcPr>
          <w:p>
            <w:pPr/>
            <w:r>
              <w:t xml:space="preserve">95 %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работает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TenderGuru API</w:t>
            </w:r>
          </w:p>
        </w:tc>
        <w:tc>
          <w:tcPr>
            <w:tcW w:w="1560" w:type="dxa"/>
          </w:tcPr>
          <w:p>
            <w:pPr/>
            <w:r>
              <w:t xml:space="preserve">96</w:t>
            </w:r>
          </w:p>
        </w:tc>
        <w:tc>
          <w:tcPr>
            <w:tcW w:w="1560" w:type="dxa"/>
          </w:tcPr>
          <w:p>
            <w:pPr/>
            <w:r>
              <w:t xml:space="preserve">38</w:t>
            </w:r>
          </w:p>
        </w:tc>
        <w:tc>
          <w:tcPr>
            <w:tcW w:w="1560" w:type="dxa"/>
          </w:tcPr>
          <w:p>
            <w:pPr/>
            <w:r>
              <w:t xml:space="preserve">88 %</w:t>
            </w:r>
          </w:p>
        </w:tc>
        <w:tc>
          <w:tcPr>
            <w:tcW w:w="1560" w:type="dxa"/>
          </w:tcPr>
          <w:p>
            <w:pPr/>
            <w:r>
              <w:t xml:space="preserve">около 1 100–1 650</w:t>
            </w:r>
          </w:p>
        </w:tc>
        <w:tc>
          <w:tcPr>
            <w:tcW w:w="1560" w:type="dxa"/>
          </w:tcPr>
          <w:p>
            <w:pPr/>
            <w:r>
              <w:t xml:space="preserve">работает; у 99 % лидов нет заказчика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Бикотендер</w:t>
            </w:r>
          </w:p>
        </w:tc>
        <w:tc>
          <w:tcPr>
            <w:tcW w:w="1560" w:type="dxa"/>
          </w:tcPr>
          <w:p>
            <w:pPr/>
            <w:r>
              <w:t xml:space="preserve">80</w:t>
            </w:r>
          </w:p>
        </w:tc>
        <w:tc>
          <w:tcPr>
            <w:tcW w:w="1560" w:type="dxa"/>
          </w:tcPr>
          <w:p>
            <w:pPr/>
            <w:r>
              <w:t xml:space="preserve">55</w:t>
            </w:r>
          </w:p>
        </w:tc>
        <w:tc>
          <w:tcPr>
            <w:tcW w:w="1560" w:type="dxa"/>
          </w:tcPr>
          <w:p>
            <w:pPr/>
            <w:r>
              <w:t xml:space="preserve">82 %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работает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Центры «Мой бизнес»</w:t>
            </w:r>
          </w:p>
        </w:tc>
        <w:tc>
          <w:tcPr>
            <w:tcW w:w="1560" w:type="dxa"/>
          </w:tcPr>
          <w:p>
            <w:pPr/>
            <w:r>
              <w:t xml:space="preserve">72</w:t>
            </w:r>
          </w:p>
        </w:tc>
        <w:tc>
          <w:tcPr>
            <w:tcW w:w="1560" w:type="dxa"/>
          </w:tcPr>
          <w:p>
            <w:pPr/>
            <w:r>
              <w:t xml:space="preserve">71</w:t>
            </w:r>
          </w:p>
        </w:tc>
        <w:tc>
          <w:tcPr>
            <w:tcW w:w="1560" w:type="dxa"/>
          </w:tcPr>
          <w:p>
            <w:pPr/>
            <w:r>
              <w:t xml:space="preserve">100 %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работает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B2B-Center</w:t>
            </w:r>
          </w:p>
        </w:tc>
        <w:tc>
          <w:tcPr>
            <w:tcW w:w="1560" w:type="dxa"/>
          </w:tcPr>
          <w:p>
            <w:pPr/>
            <w:r>
              <w:t xml:space="preserve">69</w:t>
            </w:r>
          </w:p>
        </w:tc>
        <w:tc>
          <w:tcPr>
            <w:tcW w:w="1560" w:type="dxa"/>
          </w:tcPr>
          <w:p>
            <w:pPr/>
            <w:r>
              <w:t xml:space="preserve">74</w:t>
            </w:r>
          </w:p>
        </w:tc>
        <w:tc>
          <w:tcPr>
            <w:tcW w:w="1560" w:type="dxa"/>
          </w:tcPr>
          <w:p>
            <w:pPr/>
            <w:r>
              <w:t xml:space="preserve">69 %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09–11.10 не читался, починен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Ранние сигналы (DaData, Чекко)</w:t>
            </w:r>
          </w:p>
        </w:tc>
        <w:tc>
          <w:tcPr>
            <w:tcW w:w="1560" w:type="dxa"/>
          </w:tcPr>
          <w:p>
            <w:pPr/>
            <w:r>
              <w:t xml:space="preserve">52</w:t>
            </w:r>
          </w:p>
        </w:tc>
        <w:tc>
          <w:tcPr>
            <w:tcW w:w="1560" w:type="dxa"/>
          </w:tcPr>
          <w:p>
            <w:pPr/>
            <w:r>
              <w:t xml:space="preserve">11</w:t>
            </w:r>
          </w:p>
        </w:tc>
        <w:tc>
          <w:tcPr>
            <w:tcW w:w="1560" w:type="dxa"/>
          </w:tcPr>
          <w:p>
            <w:pPr/>
            <w:r>
              <w:t xml:space="preserve">99 %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работает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TenderLand API</w:t>
            </w:r>
          </w:p>
        </w:tc>
        <w:tc>
          <w:tcPr>
            <w:tcW w:w="1560" w:type="dxa"/>
          </w:tcPr>
          <w:p>
            <w:pPr/>
            <w:r>
              <w:t xml:space="preserve">40</w:t>
            </w:r>
          </w:p>
        </w:tc>
        <w:tc>
          <w:tcPr>
            <w:tcW w:w="1560" w:type="dxa"/>
          </w:tcPr>
          <w:p>
            <w:pPr/>
            <w:r>
              <w:t xml:space="preserve">25</w:t>
            </w:r>
          </w:p>
        </w:tc>
        <w:tc>
          <w:tcPr>
            <w:tcW w:w="1560" w:type="dxa"/>
          </w:tcPr>
          <w:p>
            <w:pPr/>
            <w:r>
              <w:t xml:space="preserve">91 %</w:t>
            </w:r>
          </w:p>
        </w:tc>
        <w:tc>
          <w:tcPr>
            <w:tcW w:w="1560" w:type="dxa"/>
          </w:tcPr>
          <w:p>
            <w:pPr/>
            <w:r>
              <w:t xml:space="preserve">около 2 100 без гарантии API</w:t>
            </w:r>
          </w:p>
        </w:tc>
        <w:tc>
          <w:tcPr>
            <w:tcW w:w="1560" w:type="dxa"/>
          </w:tcPr>
          <w:p>
            <w:pPr/>
            <w:r>
              <w:t xml:space="preserve">снова отвечает; данные за 3 дня работы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Energybase</w:t>
            </w:r>
          </w:p>
        </w:tc>
        <w:tc>
          <w:tcPr>
            <w:tcW w:w="1560" w:type="dxa"/>
          </w:tcPr>
          <w:p>
            <w:pPr/>
            <w:r>
              <w:t xml:space="preserve">37</w:t>
            </w:r>
          </w:p>
        </w:tc>
        <w:tc>
          <w:tcPr>
            <w:tcW w:w="1560" w:type="dxa"/>
          </w:tcPr>
          <w:p>
            <w:pPr/>
            <w:r>
              <w:t xml:space="preserve">19</w:t>
            </w:r>
          </w:p>
        </w:tc>
        <w:tc>
          <w:tcPr>
            <w:tcW w:w="1560" w:type="dxa"/>
          </w:tcPr>
          <w:p>
            <w:pPr/>
            <w:r>
              <w:t xml:space="preserve">86 %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работает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Комтендер</w:t>
            </w:r>
          </w:p>
        </w:tc>
        <w:tc>
          <w:tcPr>
            <w:tcW w:w="1560" w:type="dxa"/>
          </w:tcPr>
          <w:p>
            <w:pPr/>
            <w:r>
              <w:t xml:space="preserve">23</w:t>
            </w:r>
          </w:p>
        </w:tc>
        <w:tc>
          <w:tcPr>
            <w:tcW w:w="1560" w:type="dxa"/>
          </w:tcPr>
          <w:p>
            <w:pPr/>
            <w:r>
              <w:t xml:space="preserve">14</w:t>
            </w:r>
          </w:p>
        </w:tc>
        <w:tc>
          <w:tcPr>
            <w:tcW w:w="1560" w:type="dxa"/>
          </w:tcPr>
          <w:p>
            <w:pPr/>
            <w:r>
              <w:t xml:space="preserve">75 %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работает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РосТендер API</w:t>
            </w:r>
          </w:p>
        </w:tc>
        <w:tc>
          <w:tcPr>
            <w:tcW w:w="1560" w:type="dxa"/>
          </w:tcPr>
          <w:p>
            <w:pPr/>
            <w:r>
              <w:t xml:space="preserve">0 новых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от 20 000 ₽/год сверх платной подписки</w:t>
            </w:r>
          </w:p>
        </w:tc>
        <w:tc>
          <w:tcPr>
            <w:tcW w:w="1560" w:type="dxa"/>
          </w:tcPr>
          <w:p>
            <w:pPr/>
            <w:r>
              <w:t xml:space="preserve">демо; добавляет заказчика и контакт к лидам каталога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Релей (сервер в РФ)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300–900</w:t>
            </w:r>
          </w:p>
        </w:tc>
        <w:tc>
          <w:tcPr>
            <w:tcW w:w="1560" w:type="dxa"/>
          </w:tcPr>
          <w:p>
            <w:pPr/>
            <w:r>
              <w:t xml:space="preserve">нужен для части российских сайтов</w:t>
            </w:r>
          </w:p>
        </w:tc>
      </w:tr>
    </w:tbl>
    <w:p>
      <w:pPr/>
      <w:r>
        <w:t xml:space="preserve">Мелкие бесплатные источники (реестр 01.10, расширение v7, HR-сообщества, доски спикеров, корпоративные университеты, сайты холдингов) вместе дали ещё около 85 качественных лидов.</w:t>
      </w:r>
    </w:p>
    <w:p>
      <w:pPr>
        <w:pStyle w:val="Heading2"/>
      </w:pPr>
      <w:r>
        <w:t xml:space="preserve">Динамика по дням</w:t>
      </w:r>
    </w:p>
    <w:p>
      <w:pPr/>
      <w:r>
        <w:drawing>
          <wp:inline distT="0" distB="0" distL="0" distR="0">
            <wp:extent cx="5486400" cy="2710542"/>
            <wp:docPr id="1" name="image1" descr="база монитора, выгрузка 11.10.2026 · открытые лиды ярусов ядро/ядро-общ по priority.p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база монитора, выгрузка 11.10.2026 · открытые лиды ярусов ядро/ядро-общ по priority.py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база монитора, выгрузка 11.10.2026 · открытые лиды ярусов ядро/ядро-общ по priority.py</w:t>
      </w:r>
    </w:p>
    <w:p>
      <w:pPr/>
      <w:r>
        <w:t xml:space="preserve">10–11.10 — выходные, но и в прошлые выходные ГосПлан давал 11–243 лида в день, а теперь 1 и 0. Всплеск 03.10 — разовая выгрузка планов-графиков.</w:t>
      </w:r>
    </w:p>
    <w:p>
      <w:pPr>
        <w:pStyle w:val="Heading2"/>
      </w:pPr>
      <w:r>
        <w:t xml:space="preserve">Распределение 10 000 ₽ в месяц</w:t>
      </w:r>
    </w:p>
    <w:p>
      <w:pPr/>
      <w:r>
        <w:t xml:space="preserve">Четыре статьи на 6 000–7 500 ₽ дают почти весь платный прирост; цена лида посчитана по качественным лидам за 01–11.10.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Что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₽/мес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Лидов в месяц, оценка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₽ за лид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Зачем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ГосПлан, годовая оплата 30 000 ₽</w:t>
            </w:r>
          </w:p>
        </w:tc>
        <w:tc>
          <w:tcPr>
            <w:tcW w:w="1560" w:type="dxa"/>
          </w:tcPr>
          <w:p>
            <w:pPr/>
            <w:r>
              <w:t xml:space="preserve">2 500</w:t>
            </w:r>
          </w:p>
        </w:tc>
        <w:tc>
          <w:tcPr>
            <w:tcW w:w="1560" w:type="dxa"/>
          </w:tcPr>
          <w:p>
            <w:pPr/>
            <w:r>
              <w:t xml:space="preserve">около 1 600</w:t>
            </w:r>
          </w:p>
        </w:tc>
        <w:tc>
          <w:tcPr>
            <w:tcW w:w="1560" w:type="dxa"/>
          </w:tcPr>
          <w:p>
            <w:pPr/>
            <w:r>
              <w:t xml:space="preserve">около 1,5</w:t>
            </w:r>
          </w:p>
        </w:tc>
        <w:tc>
          <w:tcPr>
            <w:tcW w:w="1560" w:type="dxa"/>
          </w:tcPr>
          <w:p>
            <w:pPr/>
            <w:r>
              <w:t xml:space="preserve">основной поток; без него не работают контакты закупок, документы, площадки, планы-графики и сигналы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TenderLand с API</w:t>
            </w:r>
          </w:p>
        </w:tc>
        <w:tc>
          <w:tcPr>
            <w:tcW w:w="1560" w:type="dxa"/>
          </w:tcPr>
          <w:p>
            <w:pPr/>
            <w:r>
              <w:t xml:space="preserve">2 100–3 000 (цена по запросу)</w:t>
            </w:r>
          </w:p>
        </w:tc>
        <w:tc>
          <w:tcPr>
            <w:tcW w:w="1560" w:type="dxa"/>
          </w:tcPr>
          <w:p>
            <w:pPr/>
            <w:r>
              <w:t xml:space="preserve">около 400</w:t>
            </w:r>
          </w:p>
        </w:tc>
        <w:tc>
          <w:tcPr>
            <w:tcW w:w="1560" w:type="dxa"/>
          </w:tcPr>
          <w:p>
            <w:pPr/>
            <w:r>
              <w:t xml:space="preserve">около 6</w:t>
            </w:r>
          </w:p>
        </w:tc>
        <w:tc>
          <w:tcPr>
            <w:tcW w:w="1560" w:type="dxa"/>
          </w:tcPr>
          <w:p>
            <w:pPr/>
            <w:r>
              <w:t xml:space="preserve">больше всего нового: малые закупки регионов, ЕАТ, коммерческие, Беларусь, Казахстан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</w:t>
            </w:r>
          </w:p>
        </w:tc>
        <w:tc>
          <w:tcPr>
            <w:tcW w:w="1560" w:type="dxa"/>
          </w:tcPr>
          <w:p>
            <w:pPr/>
            <w:r>
              <w:t xml:space="preserve">TenderGuru «Стандарт» на 12 месяцев, 19 900 ₽</w:t>
            </w:r>
          </w:p>
        </w:tc>
        <w:tc>
          <w:tcPr>
            <w:tcW w:w="1560" w:type="dxa"/>
          </w:tcPr>
          <w:p>
            <w:pPr/>
            <w:r>
              <w:t xml:space="preserve">1 100</w:t>
            </w:r>
          </w:p>
        </w:tc>
        <w:tc>
          <w:tcPr>
            <w:tcW w:w="1560" w:type="dxa"/>
          </w:tcPr>
          <w:p>
            <w:pPr/>
            <w:r>
              <w:t xml:space="preserve">около 260</w:t>
            </w:r>
          </w:p>
        </w:tc>
        <w:tc>
          <w:tcPr>
            <w:tcW w:w="1560" w:type="dxa"/>
          </w:tcPr>
          <w:p>
            <w:pPr/>
            <w:r>
              <w:t xml:space="preserve">около 4</w:t>
            </w:r>
          </w:p>
        </w:tc>
        <w:tc>
          <w:tcPr>
            <w:tcW w:w="1560" w:type="dxa"/>
          </w:tcPr>
          <w:p>
            <w:pPr/>
            <w:r>
              <w:t xml:space="preserve">заказчик и площадка в карточке, правильное ранжирование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4</w:t>
            </w:r>
          </w:p>
        </w:tc>
        <w:tc>
          <w:tcPr>
            <w:tcW w:w="1560" w:type="dxa"/>
          </w:tcPr>
          <w:p>
            <w:pPr/>
            <w:r>
              <w:t xml:space="preserve">Релей, сервер в РФ</w:t>
            </w:r>
          </w:p>
        </w:tc>
        <w:tc>
          <w:tcPr>
            <w:tcW w:w="1560" w:type="dxa"/>
          </w:tcPr>
          <w:p>
            <w:pPr/>
            <w:r>
              <w:t xml:space="preserve">300–900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доступ к сайтам, закрытым для зарубежных адресов; уже есть</w:t>
            </w:r>
          </w:p>
        </w:tc>
      </w:tr>
      <w:tr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Итого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6 000–7 500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Резерв</w:t>
            </w:r>
          </w:p>
        </w:tc>
        <w:tc>
          <w:tcPr>
            <w:tcW w:w="1560" w:type="dxa"/>
          </w:tcPr>
          <w:p>
            <w:pPr/>
            <w:r>
              <w:t xml:space="preserve">2 500–4 000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не тратить, пока нет цены TenderLand</w:t>
            </w:r>
          </w:p>
        </w:tc>
      </w:tr>
    </w:tbl>
    <w:p>
      <w:pPr/>
      <w:r>
        <w:rPr>
          <w:b/>
        </w:rPr>
        <w:t xml:space="preserve">Что не брать</w:t>
      </w:r>
    </w:p>
    <w:p>
      <w:pPr>
        <w:pStyle w:val="ListParagraph"/>
        <w:numPr>
          <w:ilvl w:val="0"/>
          <w:numId w:val="2"/>
        </w:numPr>
      </w:pPr>
      <w:r>
        <w:t xml:space="preserve">РосТендер API: продаётся только сверх платной подписки и новых лидов не даёт. Имеет смысл, только если вместе с подпиской выйдет до 2 000–2 500 ₽ в месяц.</w:t>
      </w:r>
    </w:p>
    <w:p>
      <w:pPr>
        <w:pStyle w:val="ListParagraph"/>
        <w:numPr>
          <w:ilvl w:val="0"/>
          <w:numId w:val="2"/>
        </w:numPr>
      </w:pPr>
      <w:r>
        <w:t xml:space="preserve">Платные тарифы Контур.Закупок и Тендерплана в бюджет не помещаются.</w:t>
      </w:r>
    </w:p>
    <w:p>
      <w:pPr>
        <w:pStyle w:val="ListParagraph"/>
        <w:numPr>
          <w:ilvl w:val="0"/>
          <w:numId w:val="2"/>
        </w:numPr>
      </w:pPr>
      <w:r>
        <w:t xml:space="preserve">Чекко и DaData: бесплатных лимитов хватает.</w:t>
      </w:r>
    </w:p>
    <w:p>
      <w:pPr>
        <w:pStyle w:val="Heading2"/>
      </w:pPr>
      <w:r>
        <w:t xml:space="preserve">Что сделать владельцу</w:t>
      </w:r>
    </w:p>
    <w:p>
      <w:pPr/>
      <w:r>
        <w:t xml:space="preserve">Оплата ГосПлана возвращает 12 этапов сразу; два вопроса поставщикам нужны до покупки остального.</w:t>
      </w:r>
    </w:p>
    <w:p>
      <w:pPr>
        <w:pStyle w:val="ListParagraph"/>
        <w:numPr>
          <w:ilvl w:val="0"/>
          <w:numId w:val="3"/>
        </w:numPr>
      </w:pPr>
      <w:r>
        <w:t xml:space="preserve">☐ Оплатить ГосПлан за год, 30 000 ₽: </w:t>
      </w:r>
      <w:hyperlink r:id="rId5" w:history="1">
        <w:r>
          <w:rPr>
            <w:rStyle w:val="Hyperlink"/>
          </w:rPr>
          <w:t xml:space="preserve">gosplan.info/pricing</w:t>
        </w:r>
      </w:hyperlink>
      <w:r>
        <w:t xml:space="preserve">. Ключ тот же — больше ничего делать не нужно; новый ключ — передать, задания сбора обновлятся.</w:t>
      </w:r>
    </w:p>
    <w:p>
      <w:pPr>
        <w:pStyle w:val="ListParagraph"/>
        <w:numPr>
          <w:ilvl w:val="0"/>
          <w:numId w:val="3"/>
        </w:numPr>
      </w:pPr>
      <w:r>
        <w:t xml:space="preserve">☐ Спросить TenderLand цену тарифа с API для одного автопоиска: info@tenderland.ru, +7 499 703-04-51.</w:t>
      </w:r>
    </w:p>
    <w:p>
      <w:pPr>
        <w:pStyle w:val="ListParagraph"/>
        <w:numPr>
          <w:ilvl w:val="0"/>
          <w:numId w:val="3"/>
        </w:numPr>
      </w:pPr>
      <w:r>
        <w:t xml:space="preserve">☐ Спросить TenderGuru, отдаёт ли API на «Стандарте» заказчика и площадку: 8-800-555-89-39, info@tenderguru.ru.</w:t>
      </w:r>
    </w:p>
    <w:p>
      <w:pPr>
        <w:pStyle w:val="ListParagraph"/>
        <w:numPr>
          <w:ilvl w:val="0"/>
          <w:numId w:val="3"/>
        </w:numPr>
      </w:pPr>
      <w:r>
        <w:t xml:space="preserve">☐ После ответа TenderLand решить, тратить ли резерв 2 500–4 000 ₽.</w:t>
      </w:r>
    </w:p>
    <w:p>
      <w:pPr>
        <w:pStyle w:val="Heading2"/>
      </w:pPr>
      <w:r>
        <w:t xml:space="preserve">Точность цифр и источники</w:t>
      </w:r>
    </w:p>
    <w:p>
      <w:pPr/>
      <w:r>
        <w:t xml:space="preserve">Цифры — оценка для выбора, а не точный учёт.</w:t>
      </w:r>
    </w:p>
    <w:p>
      <w:pPr>
        <w:pStyle w:val="ListParagraph"/>
        <w:numPr>
          <w:ilvl w:val="0"/>
          <w:numId w:val="4"/>
        </w:numPr>
      </w:pPr>
      <w:r>
        <w:t xml:space="preserve">Лиды оценены скриптом </w:t>
      </w:r>
      <w:r>
        <w:rPr>
          <w:rStyle w:val="CodeChar"/>
        </w:rPr>
        <w:t xml:space="preserve">priority.py</w:t>
      </w:r>
      <w:r>
        <w:t xml:space="preserve"> на выгрузке базы 11.10. Считаются только лиды, открытые на 11.10, поэтому ранние дни занижены.</w:t>
      </w:r>
    </w:p>
    <w:p>
      <w:pPr>
        <w:pStyle w:val="ListParagraph"/>
        <w:numPr>
          <w:ilvl w:val="0"/>
          <w:numId w:val="4"/>
        </w:numPr>
      </w:pPr>
      <w:r>
        <w:t xml:space="preserve">Уникальность — по совпадению названия и срока; одна закупка с разным написанием может считаться дважды.</w:t>
      </w:r>
    </w:p>
    <w:p>
      <w:pPr>
        <w:pStyle w:val="ListParagraph"/>
        <w:numPr>
          <w:ilvl w:val="0"/>
          <w:numId w:val="4"/>
        </w:numPr>
      </w:pPr>
      <w:r>
        <w:t xml:space="preserve">TenderLand — всего 3 дня работы, оценка ориентировочная.</w:t>
      </w:r>
    </w:p>
    <w:p>
      <w:pPr>
        <w:pStyle w:val="ListParagraph"/>
        <w:numPr>
          <w:ilvl w:val="0"/>
          <w:numId w:val="4"/>
        </w:numPr>
      </w:pPr>
      <w:r>
        <w:t xml:space="preserve">10–11.10 — выходные, закупок публикуется меньше.</w:t>
      </w:r>
    </w:p>
    <w:p>
      <w:pPr>
        <w:pStyle w:val="ListParagraph"/>
        <w:numPr>
          <w:ilvl w:val="0"/>
          <w:numId w:val="4"/>
        </w:numPr>
      </w:pPr>
      <w:r>
        <w:t xml:space="preserve">Цены ГосПлана, РосТендера и TenderLand — с их сайтов 11.10; цены TenderGuru — по проверке 04.10.</w:t>
      </w:r>
    </w:p>
    <w:p>
      <w:pPr/>
      <w:r>
        <w:rPr>
          <w:b/>
        </w:rPr>
        <w:t xml:space="preserve">Источники цен:</w:t>
      </w:r>
      <w:r>
        <w:t xml:space="preserve"> </w:t>
      </w:r>
      <w:hyperlink r:id="rId5" w:history="1">
        <w:r>
          <w:rPr>
            <w:rStyle w:val="Hyperlink"/>
          </w:rPr>
          <w:t xml:space="preserve">ГосПлан</w:t>
        </w:r>
      </w:hyperlink>
      <w:r>
        <w:t xml:space="preserve"> · </w:t>
      </w:r>
      <w:hyperlink r:id="rId6" w:history="1">
        <w:r>
          <w:rPr>
            <w:rStyle w:val="Hyperlink"/>
          </w:rPr>
          <w:t xml:space="preserve">РосТендер API</w:t>
        </w:r>
      </w:hyperlink>
      <w:r>
        <w:t xml:space="preserve"> · </w:t>
      </w:r>
      <w:hyperlink r:id="rId7" w:history="1">
        <w:r>
          <w:rPr>
            <w:rStyle w:val="Hyperlink"/>
          </w:rPr>
          <w:t xml:space="preserve">TenderLand</w:t>
        </w:r>
      </w:hyperlink>
      <w:r>
        <w:t xml:space="preserve"> · </w:t>
      </w:r>
      <w:hyperlink r:id="rId8" w:history="1">
        <w:r>
          <w:rPr>
            <w:rStyle w:val="Hyperlink"/>
          </w:rPr>
          <w:t xml:space="preserve">TenderGuru API</w:t>
        </w:r>
      </w:hyperlink>
      <w:r>
        <w:t xml:space="preserve"> · </w:t>
      </w:r>
      <w:hyperlink r:id="rId9" w:history="1">
        <w:r>
          <w:rPr>
            <w:rStyle w:val="Hyperlink"/>
          </w:rPr>
          <w:t xml:space="preserve">TenderGuru, тарифы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github.com/rtsutsaev-crypto/misb-collector/pull/76" TargetMode="External"/><Relationship Id="rId4" Type="http://schemas.openxmlformats.org/officeDocument/2006/relationships/image" Target="media/image1.png"/><Relationship Id="rId5" Type="http://schemas.openxmlformats.org/officeDocument/2006/relationships/hyperlink" Target="http://gosplan.info/pricing/" TargetMode="External"/><Relationship Id="rId6" Type="http://schemas.openxmlformats.org/officeDocument/2006/relationships/hyperlink" Target="https://rostender.info/api" TargetMode="External"/><Relationship Id="rId7" Type="http://schemas.openxmlformats.org/officeDocument/2006/relationships/hyperlink" Target="https://tenderland.ru/about_company.html" TargetMode="External"/><Relationship Id="rId8" Type="http://schemas.openxmlformats.org/officeDocument/2006/relationships/hyperlink" Target="https://www.tenderguru.ru/api" TargetMode="External"/><Relationship Id="rId9" Type="http://schemas.openxmlformats.org/officeDocument/2006/relationships/hyperlink" Target="https://www.tenderguru.ru/tariffs/short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Источники и бюджет 10 000 ₽ — Монитор МИСБ</dc:title>
  <dc:description>Claude Docs node/62cfd11b-64d2@8 docx-w6</dc:description>
  <cp:revision>8</cp:revision>
</cp:coreProperties>
</file>