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1" w:name="_b7urdng99y53"/>
      <w:bookmarkEnd w:id="1"/>
      <w:r>
        <w:rPr>
          <w:b w:val="1"/>
          <w:color w:val="000000"/>
          <w:sz w:val="26"/>
        </w:rPr>
        <w:t xml:space="preserve">Название задачи: </w:t>
      </w:r>
      <w:r>
        <w:t>Открытие депозитов онлайн</w:t>
      </w:r>
    </w:p>
    <w:p w14:paraId="02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2" w:name="_hjk0fkfyohdk"/>
      <w:bookmarkEnd w:id="2"/>
      <w:r>
        <w:rPr>
          <w:b w:val="1"/>
          <w:color w:val="000000"/>
          <w:sz w:val="26"/>
        </w:rPr>
        <w:t>Автор: Author</w:t>
      </w:r>
    </w:p>
    <w:p w14:paraId="03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3" w:name="_uanumrh8zrui"/>
      <w:bookmarkEnd w:id="3"/>
      <w:r>
        <w:rPr>
          <w:b w:val="1"/>
          <w:color w:val="000000"/>
          <w:sz w:val="26"/>
        </w:rPr>
        <w:t>Дата: 24.12.2024</w:t>
      </w:r>
    </w:p>
    <w:p w14:paraId="04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4" w:name="_3bfxc9a45514"/>
      <w:bookmarkEnd w:id="4"/>
      <w:r>
        <w:rPr>
          <w:b w:val="1"/>
          <w:color w:val="000000"/>
          <w:sz w:val="26"/>
        </w:rPr>
        <w:t>Функциональные требования</w:t>
      </w:r>
    </w:p>
    <w:p w14:paraId="05000000">
      <w:pPr>
        <w:spacing w:after="240" w:before="240"/>
        <w:ind/>
      </w:pPr>
      <w:r>
        <w:t>Опишите здесь верхнеуровневые Use Cases. Их нужно оформить в виде таблицы с пошаговым описанием:</w:t>
      </w:r>
    </w:p>
    <w:tbl>
      <w:tblPr>
        <w:tblStyle w:val="Style_2"/>
        <w:tblW w:type="auto" w:w="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4"/>
        <w:gridCol w:w="2295"/>
        <w:gridCol w:w="2020"/>
        <w:gridCol w:w="4290"/>
      </w:tblGrid>
      <w:tr>
        <w:trPr>
          <w:trHeight w:hRule="atLeast" w:val="723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6000000">
            <w:pPr>
              <w:ind/>
              <w:jc w:val="center"/>
            </w:pPr>
            <w:r>
              <w:rPr>
                <w:b w:val="1"/>
              </w:rPr>
              <w:t>№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7000000">
            <w:pPr>
              <w:ind/>
              <w:jc w:val="left"/>
            </w:pPr>
            <w:r>
              <w:rPr>
                <w:b w:val="1"/>
              </w:rPr>
              <w:t>Действующие лица или системы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8000000">
            <w:pPr>
              <w:ind/>
              <w:jc w:val="left"/>
            </w:pPr>
            <w:r>
              <w:rPr>
                <w:b w:val="1"/>
              </w:rPr>
              <w:t>Use Case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9000000">
            <w:pPr>
              <w:ind/>
              <w:jc w:val="left"/>
            </w:pPr>
            <w:r>
              <w:rPr>
                <w:b w:val="1"/>
              </w:rPr>
              <w:t>Описание</w:t>
            </w:r>
          </w:p>
        </w:tc>
      </w:tr>
      <w:tr>
        <w:trPr>
          <w:trHeight w:hRule="atLeast" w:val="512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A000000">
            <w:r>
              <w:t>1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B000000">
            <w:r>
              <w:t>Клиент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C000000">
            <w:r>
              <w:t>Клиент может просматривать список доступных вариантов для депозита на сайте и в интернет-банке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D000000">
            <w:pPr>
              <w:numPr>
                <w:numId w:val="1"/>
              </w:numPr>
            </w:pPr>
            <w:r>
              <w:t>Клиент заходит на сайт (или в интернет-банк);</w:t>
            </w:r>
          </w:p>
          <w:p w14:paraId="0E000000">
            <w:pPr>
              <w:numPr>
                <w:numId w:val="1"/>
              </w:numPr>
            </w:pPr>
            <w:r>
              <w:t>Клиент видит список доступных для него вариантов депозитов;</w:t>
            </w:r>
          </w:p>
        </w:tc>
      </w:tr>
      <w:tr>
        <w:trPr>
          <w:trHeight w:hRule="atLeast" w:val="494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F000000">
            <w:r>
              <w:t>2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0000000">
            <w:r>
              <w:t>Клиент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1000000">
            <w:r>
              <w:t>Клиент может оставить заявку на депозит через сайт или через интернет-банк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2000000">
            <w:r>
              <w:t>Клиент:</w:t>
            </w:r>
          </w:p>
          <w:p w14:paraId="13000000">
            <w:pPr>
              <w:numPr>
                <w:numId w:val="2"/>
              </w:numPr>
            </w:pPr>
            <w:r>
              <w:t>заходит на сайт (или в интернет-банк);</w:t>
            </w:r>
          </w:p>
          <w:p w14:paraId="14000000">
            <w:pPr>
              <w:numPr>
                <w:numId w:val="2"/>
              </w:numPr>
            </w:pPr>
            <w:r>
              <w:t>выбирает какой-либо из доступных депозитов;</w:t>
            </w:r>
          </w:p>
          <w:p w14:paraId="15000000">
            <w:pPr>
              <w:numPr>
                <w:numId w:val="2"/>
              </w:numPr>
            </w:pPr>
            <w:r>
              <w:t xml:space="preserve">оставляет заявку на депозит, которая поступает в систему банка; </w:t>
            </w:r>
          </w:p>
        </w:tc>
      </w:tr>
      <w:tr>
        <w:trPr>
          <w:trHeight w:hRule="atLeast" w:val="2475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6000000">
            <w:r>
              <w:t>3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7000000">
            <w:r>
              <w:t>Менеджер банка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8000000">
            <w:r>
              <w:t xml:space="preserve">Менеджер банка может использовать систему кол-центра для изучения заявки на новый депозит 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9000000">
            <w:pPr>
              <w:numPr>
                <w:numId w:val="3"/>
              </w:numPr>
            </w:pPr>
            <w:r>
              <w:t>Клиент оставил заявку на депозит через сайт или через интернет-банк;</w:t>
            </w:r>
          </w:p>
          <w:p w14:paraId="1A000000">
            <w:pPr>
              <w:numPr>
                <w:numId w:val="3"/>
              </w:numPr>
            </w:pPr>
            <w:r>
              <w:t>Менеджер банка увидел заявку клиента через систему кол-центра;</w:t>
            </w:r>
          </w:p>
        </w:tc>
      </w:tr>
      <w:tr>
        <w:trPr>
          <w:trHeight w:hRule="atLeast" w:val="230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B000000">
            <w:r>
              <w:t>4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C000000">
            <w:r>
              <w:t>АБС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D000000">
            <w:r>
              <w:t>В АБС необходимо вести информацию по депозитным ставкам</w:t>
            </w:r>
          </w:p>
          <w:p w14:paraId="1E000000"/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F000000">
            <w:pPr>
              <w:numPr>
                <w:numId w:val="4"/>
              </w:numPr>
            </w:pPr>
            <w:r>
              <w:t>Клиент заходит на сайт (или в интернет-банк);</w:t>
            </w:r>
          </w:p>
          <w:p w14:paraId="20000000">
            <w:pPr>
              <w:numPr>
                <w:numId w:val="4"/>
              </w:numPr>
            </w:pPr>
            <w:r>
              <w:t>Клиент видит список доступных для него вариантов депозитов;</w:t>
            </w:r>
          </w:p>
          <w:p w14:paraId="21000000">
            <w:pPr>
              <w:numPr>
                <w:numId w:val="4"/>
              </w:numPr>
            </w:pPr>
            <w:r>
              <w:t>Информация по ставкам поступает на основе данных из АБС</w:t>
            </w:r>
          </w:p>
        </w:tc>
      </w:tr>
      <w:tr>
        <w:trPr>
          <w:trHeight w:hRule="atLeast" w:val="230"/>
        </w:trPr>
        <w:tc>
          <w:tcPr>
            <w:tcW w:type="dxa" w:w="42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2000000">
            <w:r>
              <w:t>5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3000000">
            <w:r>
              <w:t>Клиент</w:t>
            </w:r>
          </w:p>
        </w:tc>
        <w:tc>
          <w:tcPr>
            <w:tcW w:type="dxa" w:w="20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4000000">
            <w:r>
              <w:t>Клиент должен получать СМС-уведомления после подтверждения размера ставки и открытия депозита</w:t>
            </w:r>
          </w:p>
          <w:p w14:paraId="25000000"/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6000000">
            <w:pPr>
              <w:numPr>
                <w:numId w:val="5"/>
              </w:numPr>
            </w:pPr>
            <w:r>
              <w:t>Клиент оставил заявку на депозит через сайт или через интернет-банк;</w:t>
            </w:r>
          </w:p>
          <w:p w14:paraId="27000000">
            <w:pPr>
              <w:numPr>
                <w:numId w:val="5"/>
              </w:numPr>
            </w:pPr>
            <w:r>
              <w:t>Менеджер банка оформил заявку;</w:t>
            </w:r>
          </w:p>
          <w:p w14:paraId="28000000">
            <w:pPr>
              <w:numPr>
                <w:numId w:val="5"/>
              </w:numPr>
            </w:pPr>
            <w:r>
              <w:t>Заявка прошла через все этапы согласования;</w:t>
            </w:r>
          </w:p>
          <w:p w14:paraId="29000000">
            <w:pPr>
              <w:numPr>
                <w:numId w:val="5"/>
              </w:numPr>
            </w:pPr>
            <w:r>
              <w:t xml:space="preserve">После одобрения заявки и открытия депозита пользователь получил СМС-уведомление </w:t>
            </w:r>
          </w:p>
        </w:tc>
      </w:tr>
    </w:tbl>
    <w:p w14:paraId="2A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5" w:name="_u8xz25hbrgql"/>
      <w:bookmarkEnd w:id="5"/>
      <w:r>
        <w:rPr>
          <w:b w:val="1"/>
          <w:color w:val="000000"/>
          <w:sz w:val="26"/>
        </w:rPr>
        <w:t>Нефункциональные требования</w:t>
      </w:r>
    </w:p>
    <w:p w14:paraId="2B000000">
      <w:pPr>
        <w:spacing w:after="240" w:before="240"/>
        <w:ind/>
      </w:pPr>
      <w:r>
        <w:t>Опишите здесь нефункциональные требования и архитектурно-значимые требования.</w:t>
      </w:r>
    </w:p>
    <w:tbl>
      <w:tblPr>
        <w:tblStyle w:val="Style_3"/>
        <w:tblW w:type="auto" w:w="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65"/>
        <w:gridCol w:w="7725"/>
      </w:tblGrid>
      <w:tr>
        <w:trPr>
          <w:trHeight w:hRule="atLeast" w:val="515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C000000">
            <w:pPr>
              <w:ind/>
              <w:jc w:val="center"/>
            </w:pPr>
            <w:r>
              <w:rPr>
                <w:b w:val="1"/>
              </w:rPr>
              <w:t>№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D000000">
            <w:pPr>
              <w:ind/>
              <w:jc w:val="left"/>
            </w:pPr>
            <w:r>
              <w:rPr>
                <w:b w:val="1"/>
              </w:rPr>
              <w:t>Требование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E000000">
            <w:r>
              <w:t>1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F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Доступность сервисов - 99,9%;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0000000">
            <w:r>
              <w:t>2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1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Все сервисы должны работать 24/7;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2000000">
            <w:r>
              <w:t>3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3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горизонтального масштабирования всех компонентов;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4000000">
            <w:r>
              <w:t>4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5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Базы данных: MS SQL и Oracle;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6000000">
            <w:r>
              <w:t>5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7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Микросервисная архитектура для новых сервисов, связанных с депозитами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8000000">
            <w:r>
              <w:t>6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9000000">
            <w:pPr>
              <w:ind w:firstLine="0" w:left="149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новых сервисов интернет-банк должен взаимодействовать с АБС асинхронно</w:t>
            </w:r>
          </w:p>
        </w:tc>
      </w:tr>
    </w:tbl>
    <w:p w14:paraId="3A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6" w:name="_qmphm5d6rvi3"/>
      <w:bookmarkEnd w:id="6"/>
      <w:r>
        <w:rPr>
          <w:b w:val="1"/>
          <w:color w:val="000000"/>
          <w:sz w:val="26"/>
        </w:rPr>
        <w:t>Решение</w:t>
      </w:r>
    </w:p>
    <w:p w14:paraId="3B000000">
      <w:pPr>
        <w:numPr>
          <w:numId w:val="6"/>
        </w:numPr>
        <w:spacing w:after="240" w:before="240"/>
        <w:ind/>
      </w:pPr>
      <w:r>
        <w:t>Сервис депозитов – это отдельный сервис с отдельным API – не связанный с существующим backend'ом интернет-банка. Такое решение проще масштабировать;</w:t>
      </w:r>
    </w:p>
    <w:p w14:paraId="3C000000">
      <w:pPr>
        <w:numPr>
          <w:numId w:val="6"/>
        </w:numPr>
        <w:spacing w:after="240" w:before="240"/>
        <w:ind/>
      </w:pPr>
      <w:r>
        <w:t>Одним из требований к новой системе – сервисы депозитов интернет-банка не должны взаимодействовать с АБС напрямую. Поэтому взаимодействие осуществляется через Kafka. В доменах интернет-банка и АБС развернуты дополнительные сервисы, которые обеспечивают гарантию доставки сообщений и позволяют дополнительно обрабатывать заявки;</w:t>
      </w:r>
    </w:p>
    <w:p w14:paraId="3D000000">
      <w:pPr>
        <w:numPr>
          <w:numId w:val="6"/>
        </w:numPr>
        <w:spacing w:after="240" w:before="240"/>
        <w:ind/>
      </w:pPr>
      <w:r>
        <w:t>В качестве дополнительной БД для сервиса депозитов используется MySQL, так как в банке есть опыт поддержки такой БД;</w:t>
      </w:r>
    </w:p>
    <w:p w14:paraId="3E000000">
      <w:pPr>
        <w:numPr>
          <w:numId w:val="6"/>
        </w:numPr>
        <w:spacing w:after="240" w:before="240"/>
        <w:ind/>
      </w:pPr>
      <w:r>
        <w:t>Доступность сервисов будет обеспечиваться за счет failover-стратегии типа ACTIVE-ACTIVE. В банке уже есть дополнительный ЦОД, поэтому на нем можно подготовить инфраструктуру на случай сбоя в работе в основном ЦОД.</w:t>
      </w:r>
    </w:p>
    <w:p w14:paraId="3F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7" w:name="_bjrr7veeh80c"/>
      <w:bookmarkEnd w:id="7"/>
      <w:r>
        <w:rPr>
          <w:b w:val="1"/>
          <w:color w:val="000000"/>
          <w:sz w:val="26"/>
        </w:rPr>
        <w:t>Альтернативы</w:t>
      </w:r>
    </w:p>
    <w:p w14:paraId="40000000">
      <w:pPr>
        <w:numPr>
          <w:numId w:val="7"/>
        </w:numPr>
        <w:spacing w:after="240" w:before="240"/>
        <w:ind/>
      </w:pPr>
      <w:r>
        <w:t xml:space="preserve">Альтернативных решением является решение на стороне домена АБС. Вместо того, чтобы завязывать новый бизнес-процесс на БД АБС можно было бы использовать отдельную БД и выстраивать процесс относительно отдельной БД. </w:t>
      </w:r>
    </w:p>
    <w:p w14:paraId="41000000">
      <w:pPr>
        <w:spacing w:after="240" w:before="240"/>
        <w:ind/>
        <w:rPr>
          <w:b w:val="1"/>
          <w:color w:val="000000"/>
          <w:sz w:val="26"/>
        </w:rPr>
      </w:pPr>
      <w:r>
        <w:rPr>
          <w:b w:val="1"/>
          <w:color w:val="000000"/>
          <w:sz w:val="26"/>
        </w:rPr>
        <w:t>Недостатки, ограничения, риски</w:t>
      </w:r>
    </w:p>
    <w:p w14:paraId="42000000">
      <w:pPr>
        <w:numPr>
          <w:numId w:val="8"/>
        </w:numPr>
        <w:spacing w:after="240" w:before="240"/>
        <w:ind/>
      </w:pPr>
      <w:r>
        <w:t>Завязывание новой логики на старую АБС является одним из ключевых недостатков. При возрастании нагрузки масштабироваться будет сложнее. Уже сейчас АБС может масштабироваться только вертикально, соответственно, в случае большого притока клиентов процесс обработки заявки на депозиты может затянуться.</w:t>
      </w:r>
    </w:p>
    <w:p w14:paraId="43000000">
      <w:pPr>
        <w:numPr>
          <w:numId w:val="8"/>
        </w:numPr>
        <w:spacing w:after="240" w:before="240"/>
        <w:ind/>
      </w:pPr>
      <w:r>
        <w:t>В случае долгого процесса обработки заявок появляется риск потери клиентов;</w:t>
      </w:r>
    </w:p>
    <w:p w14:paraId="44000000">
      <w:pPr>
        <w:numPr>
          <w:numId w:val="8"/>
        </w:numPr>
        <w:spacing w:after="240" w:before="240"/>
        <w:ind/>
      </w:pPr>
      <w:r>
        <w:t xml:space="preserve">Также, данное решение изначально имеет потолок масштабирования данных – связанных с невозможностью горизонтального масштабирования БД АБС. </w:t>
      </w:r>
    </w:p>
    <w:p w14:paraId="4500000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" w:type="paragraph">
    <w:name w:val="heading 3"/>
    <w:basedOn w:val="Style_4"/>
    <w:next w:val="Style_4"/>
    <w:link w:val="Style_1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1_ch" w:type="character">
    <w:name w:val="heading 3"/>
    <w:basedOn w:val="Style_4_ch"/>
    <w:link w:val="Style_1"/>
    <w:rPr>
      <w:b w:val="0"/>
      <w:color w:val="434343"/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1_ch" w:type="character">
    <w:name w:val="heading 5"/>
    <w:basedOn w:val="Style_4_ch"/>
    <w:link w:val="Style_11"/>
    <w:rPr>
      <w:color w:val="666666"/>
      <w:sz w:val="22"/>
    </w:rPr>
  </w:style>
  <w:style w:styleId="Style_12" w:type="paragraph">
    <w:name w:val="heading 1"/>
    <w:basedOn w:val="Style_4"/>
    <w:next w:val="Style_4"/>
    <w:link w:val="Style_12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2_ch" w:type="character">
    <w:name w:val="heading 1"/>
    <w:basedOn w:val="Style_4_ch"/>
    <w:link w:val="Style_12"/>
    <w:rPr>
      <w:sz w:val="40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4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basedOn w:val="Style_4"/>
    <w:next w:val="Style_4"/>
    <w:link w:val="Style_20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20_ch" w:type="character">
    <w:name w:val="Subtitle"/>
    <w:basedOn w:val="Style_4_ch"/>
    <w:link w:val="Style_20"/>
    <w:rPr>
      <w:rFonts w:ascii="Arial" w:hAnsi="Arial"/>
      <w:i w:val="0"/>
      <w:color w:val="666666"/>
      <w:sz w:val="30"/>
    </w:rPr>
  </w:style>
  <w:style w:styleId="Style_21" w:type="paragraph">
    <w:name w:val="Title"/>
    <w:basedOn w:val="Style_4"/>
    <w:next w:val="Style_4"/>
    <w:link w:val="Style_21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21_ch" w:type="character">
    <w:name w:val="Title"/>
    <w:basedOn w:val="Style_4_ch"/>
    <w:link w:val="Style_21"/>
    <w:rPr>
      <w:sz w:val="52"/>
    </w:rPr>
  </w:style>
  <w:style w:styleId="Style_22" w:type="paragraph">
    <w:name w:val="heading 4"/>
    <w:basedOn w:val="Style_4"/>
    <w:next w:val="Style_4"/>
    <w:link w:val="Style_22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2_ch" w:type="character">
    <w:name w:val="heading 4"/>
    <w:basedOn w:val="Style_4_ch"/>
    <w:link w:val="Style_22"/>
    <w:rPr>
      <w:color w:val="666666"/>
      <w:sz w:val="24"/>
    </w:rPr>
  </w:style>
  <w:style w:styleId="Style_23" w:type="paragraph">
    <w:name w:val="heading 2"/>
    <w:basedOn w:val="Style_4"/>
    <w:next w:val="Style_4"/>
    <w:link w:val="Style_23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3_ch" w:type="character">
    <w:name w:val="heading 2"/>
    <w:basedOn w:val="Style_4_ch"/>
    <w:link w:val="Style_23"/>
    <w:rPr>
      <w:b w:val="0"/>
      <w:sz w:val="32"/>
    </w:rPr>
  </w:style>
  <w:style w:styleId="Style_24" w:type="paragraph">
    <w:name w:val="heading 6"/>
    <w:basedOn w:val="Style_4"/>
    <w:next w:val="Style_4"/>
    <w:link w:val="Style_24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4_ch" w:type="character">
    <w:name w:val="heading 6"/>
    <w:basedOn w:val="Style_4_ch"/>
    <w:link w:val="Style_24"/>
    <w:rPr>
      <w:i w:val="1"/>
      <w:color w:val="666666"/>
      <w:sz w:val="22"/>
    </w:rPr>
  </w:style>
  <w:style w:styleId="Style_2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25" w:type="table">
    <w:name w:val="Table Normal"/>
  </w:style>
  <w:style w:styleId="Style_3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2024-12-24T17:58:12Z</dcterms:modified>
</cp:coreProperties>
</file>