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Multivariate Regression Framework for Estimating Glomerular Filtration Rate (GFR) in Chronic Kidney Disease (CKD) Patients Using Clinical Biomarkers</w:t>
      </w:r>
    </w:p>
    <w:p>
      <w:pPr>
        <w:spacing w:after="400"/>
        <w:jc w:val="center"/>
      </w:pPr>
      <w:r>
        <w:rPr>
          <w:rFonts w:ascii="Times New Roman" w:cs="Times New Roman" w:eastAsia="Times New Roman" w:hAnsi="Times New Roman"/>
          <w:i/>
          <w:iCs/>
          <w:sz w:val="22"/>
          <w:szCs w:val="22"/>
        </w:rPr>
        <w:t xml:space="preserve">Research Article</w:t>
      </w:r>
    </w:p>
    <w:p>
      <w:pPr>
        <w:pStyle w:val="Heading1"/>
        <w:spacing w:after="140" w:before="280"/>
      </w:pPr>
      <w:r>
        <w:rPr>
          <w:rFonts w:ascii="Times New Roman" w:cs="Times New Roman" w:eastAsia="Times New Roman" w:hAnsi="Times New Roman"/>
          <w:b/>
          <w:bCs/>
          <w:sz w:val="28"/>
          <w:szCs w:val="28"/>
        </w:rPr>
        <w:t xml:space="preserve">Abstract</w:t>
      </w:r>
    </w:p>
    <w:p>
      <w:pPr>
        <w:spacing w:after="120" w:line="360"/>
        <w:jc w:val="both"/>
      </w:pPr>
      <w:r>
        <w:rPr>
          <w:rFonts w:ascii="Times New Roman" w:cs="Times New Roman" w:eastAsia="Times New Roman" w:hAnsi="Times New Roman"/>
          <w:sz w:val="24"/>
          <w:szCs w:val="24"/>
        </w:rPr>
        <w:t xml:space="preserve">Chronic kidney disease (CKD) is a progressive condition affecting over 800 million individuals globally, characterized by a gradual decline in renal function. Glomerular filtration rate (GFR) remains the gold standard for assessing kidney function and staging CKD severity. Accurate, non-invasive estimation of GFR using routinely collected clinical biomarkers holds significant promise for early detection and monitoring. This study develops a multivariate regression framework for estimating GFR using six clinical biomarkers: age, serum creatinine, blood urea nitrogen (BUN) levels, hemoglobin levels, systolic blood pressure, and protein in urine. A dataset comprising 1,659 patient observations was preprocessed through median and mode imputation, StandardScaler normalization, and robust outlier detection using Median Absolute Deviation (MAD). Feature selection was conducted using LASSO regularization, principal component analysis (PCA), and forward stepwise regression. Four regression models were developed and compared: ordinary least squares (OLS) linear regression, LASSO regression, Ridge regression, and principal component regression (PCR). Model performance was evaluated using the sum of squared errors (SSE), coefficient of determination (R²), and Akaike Information Criterion (AIC). Ridge regression emerged as the best-performing model (R² = 0.76, SSE = 4,800, AIC = 4,030), with serum creatinine identified as the strongest predictor of GFR. These findings support the clinical utility of regularized regression approaches for renal function estimation and have implications for CKD screening protocols in resource-limited settings.</w:t>
      </w: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Chronic kidney disease, Glomerular filtration rate, Ridge regression, LASSO, Serum creatinine, Clinical biomarkers, Multivariate regression</w:t>
      </w:r>
    </w:p>
    <w:p>
      <w:pPr>
        <w:pStyle w:val="Heading1"/>
        <w:spacing w:after="140" w:before="280"/>
      </w:pPr>
      <w:r>
        <w:rPr>
          <w:rFonts w:ascii="Times New Roman" w:cs="Times New Roman" w:eastAsia="Times New Roman" w:hAnsi="Times New Roman"/>
          <w:b/>
          <w:bCs/>
          <w:sz w:val="28"/>
          <w:szCs w:val="28"/>
        </w:rPr>
        <w:t xml:space="preserve">1. Introduction</w:t>
      </w:r>
    </w:p>
    <w:p>
      <w:pPr>
        <w:spacing w:after="120" w:line="360"/>
        <w:jc w:val="both"/>
      </w:pPr>
      <w:r>
        <w:rPr>
          <w:rFonts w:ascii="Times New Roman" w:cs="Times New Roman" w:eastAsia="Times New Roman" w:hAnsi="Times New Roman"/>
          <w:sz w:val="24"/>
          <w:szCs w:val="24"/>
        </w:rPr>
        <w:t xml:space="preserve">Chronic kidney disease (CKD) represents one of the most pressing global public health challenges of the twenty-first century. Defined by a sustained reduction in kidney function over a period of three months or longer, CKD affects an estimated 10% of the global adult population and is a leading contributor to cardiovascular morbidity and all-cause mortality. The disease progresses through five stages, classified primarily by the glomerular filtration rate (GFR), which quantifies the volume of plasma filtered by the glomeruli per unit time. As GFR declines, patients experience a cascade of metabolic derangements including uremia, electrolyte imbalance, anemia, and fluid overload, ultimately culminating in end-stage renal disease (ESRD) requiring dialysis or transplantation.</w:t>
      </w:r>
    </w:p>
    <w:p>
      <w:pPr>
        <w:spacing w:after="120" w:line="360"/>
        <w:jc w:val="both"/>
      </w:pPr>
      <w:r>
        <w:rPr>
          <w:rFonts w:ascii="Times New Roman" w:cs="Times New Roman" w:eastAsia="Times New Roman" w:hAnsi="Times New Roman"/>
          <w:sz w:val="24"/>
          <w:szCs w:val="24"/>
        </w:rPr>
        <w:t xml:space="preserve">The clinical gold standard for GFR measurement involves exogenous filtration markers such as inulin or iothalamate clearance; however, these methods are invasive, costly, and impractical for routine screening. Consequently, estimated GFR (eGFR) equations—such as the Cockcroft-Gault, Modification of Diet in Renal Disease (MDRD), and Chronic Kidney Disease Epidemiology Collaboration (CKD-EPI) formulas—have been developed to approximate GFR from endogenous biomarkers, primarily serum creatinine. Despite widespread adoption, these equations exhibit systematic biases across demographic subgroups and may underperform in populations with atypical muscle mass, diet, or comorbidity profiles.</w:t>
      </w:r>
    </w:p>
    <w:p>
      <w:pPr>
        <w:spacing w:after="120" w:line="360"/>
        <w:jc w:val="both"/>
      </w:pPr>
      <w:r>
        <w:rPr>
          <w:rFonts w:ascii="Times New Roman" w:cs="Times New Roman" w:eastAsia="Times New Roman" w:hAnsi="Times New Roman"/>
          <w:sz w:val="24"/>
          <w:szCs w:val="24"/>
        </w:rPr>
        <w:t xml:space="preserve">Machine learning and advanced statistical modeling offer an alternative paradigm for GFR estimation, enabling the simultaneous integration of multiple biomarkers and the capture of nonlinear relationships that traditional equations may miss. Regularized regression techniques such as LASSO and Ridge regression are particularly well-suited for clinical prediction tasks, as they mitigate overfitting while retaining interpretability—a critical requirement for clinical adoption.</w:t>
      </w:r>
    </w:p>
    <w:p>
      <w:pPr>
        <w:spacing w:after="120" w:line="360"/>
        <w:jc w:val="both"/>
      </w:pPr>
      <w:r>
        <w:rPr>
          <w:rFonts w:ascii="Times New Roman" w:cs="Times New Roman" w:eastAsia="Times New Roman" w:hAnsi="Times New Roman"/>
          <w:sz w:val="24"/>
          <w:szCs w:val="24"/>
        </w:rPr>
        <w:t xml:space="preserve">The objective of the present study is to develop and evaluate a multivariate regression framework for estimating GFR in CKD patients using six routinely collected clinical biomarkers: age, serum creatinine, blood urea nitrogen (BUN) levels, hemoglobin levels, systolic blood pressure (SBP), and urinary protein excretion. By comparing ordinary least squares, LASSO, Ridge, and principal component regression models, this work seeks to identify the optimal modeling strategy and the most informative predictors for non-invasive GFR estimation.</w:t>
      </w:r>
    </w:p>
    <w:p>
      <w:pPr>
        <w:pStyle w:val="Heading1"/>
        <w:spacing w:after="140" w:before="280"/>
      </w:pPr>
      <w:r>
        <w:rPr>
          <w:rFonts w:ascii="Times New Roman" w:cs="Times New Roman" w:eastAsia="Times New Roman" w:hAnsi="Times New Roman"/>
          <w:b/>
          <w:bCs/>
          <w:sz w:val="28"/>
          <w:szCs w:val="28"/>
        </w:rPr>
        <w:t xml:space="preserve">2. Methodology</w:t>
      </w:r>
    </w:p>
    <w:p>
      <w:pPr>
        <w:pStyle w:val="Heading2"/>
        <w:spacing w:after="140" w:before="280"/>
      </w:pPr>
      <w:r>
        <w:rPr>
          <w:rFonts w:ascii="Times New Roman" w:cs="Times New Roman" w:eastAsia="Times New Roman" w:hAnsi="Times New Roman"/>
          <w:b/>
          <w:bCs/>
          <w:sz w:val="24"/>
          <w:szCs w:val="24"/>
        </w:rPr>
        <w:t xml:space="preserve">2.1 Dataset Description</w:t>
      </w:r>
    </w:p>
    <w:p>
      <w:pPr>
        <w:spacing w:after="120" w:line="360"/>
        <w:jc w:val="both"/>
      </w:pPr>
      <w:r>
        <w:rPr>
          <w:rFonts w:ascii="Times New Roman" w:cs="Times New Roman" w:eastAsia="Times New Roman" w:hAnsi="Times New Roman"/>
          <w:sz w:val="24"/>
          <w:szCs w:val="24"/>
        </w:rPr>
        <w:t xml:space="preserve">The dataset comprises 1,659 observations drawn from clinical records of patients evaluated for chronic kidney disease. Seven variables were retained for analysis: age (years), serum creatinine (mg/dL), blood urea nitrogen levels (mg/dL), hemoglobin levels (g/dL), systolic blood pressure (mmHg), protein in urine (g/day), and GFR (mL/min/1.73 m²) as the continuous target variable. These biomarkers were selected on the basis of their established physiological relevance to renal function. Serum creatinine and BUN are direct indicators of glomerular filtration and nitrogenous waste retention, respectively. Hemoglobin reflects the erythropoietic consequences of renal impairment, while systolic blood pressure and proteinuria capture the hemodynamic and glomerular barrier integrity dimensions of CKD pathophysiology.</w:t>
      </w:r>
    </w:p>
    <w:p>
      <w:pPr>
        <w:pStyle w:val="Heading2"/>
        <w:spacing w:after="140" w:before="280"/>
      </w:pPr>
      <w:r>
        <w:rPr>
          <w:rFonts w:ascii="Times New Roman" w:cs="Times New Roman" w:eastAsia="Times New Roman" w:hAnsi="Times New Roman"/>
          <w:b/>
          <w:bCs/>
          <w:sz w:val="24"/>
          <w:szCs w:val="24"/>
        </w:rPr>
        <w:t xml:space="preserve">2.2 Data Preprocessing</w:t>
      </w:r>
    </w:p>
    <w:p>
      <w:pPr>
        <w:spacing w:after="120" w:line="360"/>
        <w:jc w:val="both"/>
      </w:pPr>
      <w:r>
        <w:rPr>
          <w:rFonts w:ascii="Times New Roman" w:cs="Times New Roman" w:eastAsia="Times New Roman" w:hAnsi="Times New Roman"/>
          <w:sz w:val="24"/>
          <w:szCs w:val="24"/>
        </w:rPr>
        <w:t xml:space="preserve">Missing values were addressed through imputation: numerical variables were imputed using the column median to preserve distributional robustness against skewness, while categorical variables (where applicable) were imputed using the mode. Following imputation, all predictor variables were standardized using the StandardScaler transformation, centering each feature to zero mean and unit variance. This normalization step ensures that regression coefficients are directly comparable in magnitude and prevents features with larger numeric ranges from dominating the optimization.</w:t>
      </w:r>
    </w:p>
    <w:p>
      <w:pPr>
        <w:spacing w:after="120" w:line="360"/>
        <w:jc w:val="both"/>
      </w:pPr>
      <w:r>
        <w:rPr>
          <w:rFonts w:ascii="Times New Roman" w:cs="Times New Roman" w:eastAsia="Times New Roman" w:hAnsi="Times New Roman"/>
          <w:sz w:val="24"/>
          <w:szCs w:val="24"/>
        </w:rPr>
        <w:t xml:space="preserve">Outlier detection was performed using the Median Absolute Deviation (MAD) method, a robust alternative to standard deviation-based approaches. For each predictor, the MAD was computed as the median of the absolute deviations from the column median. Observations falling outside the interval defined by median ± 3 × 1.4826 × MAD were flagged as potential outliers. The constant 1.4826 ensures consistency with the standard deviation for normally distributed data. Application of this procedure to the standardized dataset identified no observations exceeding the MAD thresholds across any variable, indicating that the data were well-behaved following normalization. Consequently, the full dataset of 1,659 observations was retained for modeling.</w:t>
      </w:r>
    </w:p>
    <w:p>
      <w:pPr>
        <w:pStyle w:val="Heading2"/>
        <w:spacing w:after="140" w:before="280"/>
      </w:pPr>
      <w:r>
        <w:rPr>
          <w:rFonts w:ascii="Times New Roman" w:cs="Times New Roman" w:eastAsia="Times New Roman" w:hAnsi="Times New Roman"/>
          <w:b/>
          <w:bCs/>
          <w:sz w:val="24"/>
          <w:szCs w:val="24"/>
        </w:rPr>
        <w:t xml:space="preserve">2.3 Feature Selection</w:t>
      </w:r>
    </w:p>
    <w:p>
      <w:pPr>
        <w:spacing w:after="120" w:line="360"/>
        <w:jc w:val="both"/>
      </w:pPr>
      <w:r>
        <w:rPr>
          <w:rFonts w:ascii="Times New Roman" w:cs="Times New Roman" w:eastAsia="Times New Roman" w:hAnsi="Times New Roman"/>
          <w:sz w:val="24"/>
          <w:szCs w:val="24"/>
        </w:rPr>
        <w:t xml:space="preserve">Three complementary feature selection strategies were employed to evaluate the relative importance of the six clinical predictors.</w:t>
      </w:r>
    </w:p>
    <w:p>
      <w:pPr>
        <w:spacing w:after="120" w:line="360"/>
        <w:jc w:val="both"/>
      </w:pPr>
      <w:r>
        <w:rPr>
          <w:rFonts w:ascii="Times New Roman" w:cs="Times New Roman" w:eastAsia="Times New Roman" w:hAnsi="Times New Roman"/>
          <w:b/>
          <w:bCs/>
          <w:sz w:val="24"/>
          <w:szCs w:val="24"/>
        </w:rPr>
        <w:t xml:space="preserve">LASSO-based selection: </w:t>
      </w:r>
      <w:r>
        <w:rPr>
          <w:rFonts w:ascii="Times New Roman" w:cs="Times New Roman" w:eastAsia="Times New Roman" w:hAnsi="Times New Roman"/>
          <w:sz w:val="24"/>
          <w:szCs w:val="24"/>
        </w:rPr>
        <w:t xml:space="preserve">Least Absolute Shrinkage and Selection Operator (LASSO) regression with cross-validated alpha selection (LassoCV) was applied. LASSO imposes an L1 penalty on the regression coefficients, driving coefficients of less informative features to exactly zero and thereby performing implicit variable selection. The optimal regularization parameter was determined via 10-fold cross-validation.</w:t>
      </w:r>
    </w:p>
    <w:p>
      <w:pPr>
        <w:spacing w:after="120" w:line="360"/>
        <w:jc w:val="both"/>
      </w:pPr>
      <w:r>
        <w:rPr>
          <w:rFonts w:ascii="Times New Roman" w:cs="Times New Roman" w:eastAsia="Times New Roman" w:hAnsi="Times New Roman"/>
          <w:b/>
          <w:bCs/>
          <w:sz w:val="24"/>
          <w:szCs w:val="24"/>
        </w:rPr>
        <w:t xml:space="preserve">Principal component analysis: </w:t>
      </w:r>
      <w:r>
        <w:rPr>
          <w:rFonts w:ascii="Times New Roman" w:cs="Times New Roman" w:eastAsia="Times New Roman" w:hAnsi="Times New Roman"/>
          <w:sz w:val="24"/>
          <w:szCs w:val="24"/>
        </w:rPr>
        <w:t xml:space="preserve">PCA was conducted to examine the variance structure of the predictor space. The eigenvalues and cumulative explained variance ratios were computed for all six principal components. Individual components explained between 15.3% and 17.9% of the total variance, reflecting a relatively uniform distribution of information across predictors. All six components were required to explain 100% of the variance, with the first five accounting for approximately 84.7%.</w:t>
      </w:r>
    </w:p>
    <w:p>
      <w:pPr>
        <w:spacing w:after="120" w:line="360"/>
        <w:jc w:val="both"/>
      </w:pPr>
      <w:r>
        <w:rPr>
          <w:rFonts w:ascii="Times New Roman" w:cs="Times New Roman" w:eastAsia="Times New Roman" w:hAnsi="Times New Roman"/>
          <w:b/>
          <w:bCs/>
          <w:sz w:val="24"/>
          <w:szCs w:val="24"/>
        </w:rPr>
        <w:t xml:space="preserve">Forward stepwise selection: </w:t>
      </w:r>
      <w:r>
        <w:rPr>
          <w:rFonts w:ascii="Times New Roman" w:cs="Times New Roman" w:eastAsia="Times New Roman" w:hAnsi="Times New Roman"/>
          <w:sz w:val="24"/>
          <w:szCs w:val="24"/>
        </w:rPr>
        <w:t xml:space="preserve">A greedy forward stepwise algorithm was implemented using the Akaike Information Criterion (AIC) as the selection metric. Starting from an intercept-only model, predictors were iteratively added based on the greatest reduction in AIC. The algorithm terminated when no additional predictor yielded a lower AIC. This procedure selected age as the single variable providing the greatest information gain, yielding an AIC of 15,998.34.</w:t>
      </w:r>
    </w:p>
    <w:p>
      <w:pPr>
        <w:pStyle w:val="Heading2"/>
        <w:spacing w:after="140" w:before="280"/>
      </w:pPr>
      <w:r>
        <w:rPr>
          <w:rFonts w:ascii="Times New Roman" w:cs="Times New Roman" w:eastAsia="Times New Roman" w:hAnsi="Times New Roman"/>
          <w:b/>
          <w:bCs/>
          <w:sz w:val="24"/>
          <w:szCs w:val="24"/>
        </w:rPr>
        <w:t xml:space="preserve">2.4 Model Development</w:t>
      </w:r>
    </w:p>
    <w:p>
      <w:pPr>
        <w:spacing w:after="120" w:line="360"/>
        <w:jc w:val="both"/>
      </w:pPr>
      <w:r>
        <w:rPr>
          <w:rFonts w:ascii="Times New Roman" w:cs="Times New Roman" w:eastAsia="Times New Roman" w:hAnsi="Times New Roman"/>
          <w:sz w:val="24"/>
          <w:szCs w:val="24"/>
        </w:rPr>
        <w:t xml:space="preserve">The dataset was partitioned into training (80%, n = 1,327) and test (20%, n = 332) subsets using stratified random sampling. Four regression models were developed:</w:t>
      </w:r>
    </w:p>
    <w:p>
      <w:pPr>
        <w:spacing w:after="120" w:line="360"/>
        <w:jc w:val="both"/>
      </w:pPr>
      <w:r>
        <w:rPr>
          <w:rFonts w:ascii="Times New Roman" w:cs="Times New Roman" w:eastAsia="Times New Roman" w:hAnsi="Times New Roman"/>
          <w:b/>
          <w:bCs/>
          <w:sz w:val="24"/>
          <w:szCs w:val="24"/>
        </w:rPr>
        <w:t xml:space="preserve">Ordinary Least Squares (OLS) Linear Regression: </w:t>
      </w:r>
      <w:r>
        <w:rPr>
          <w:rFonts w:ascii="Times New Roman" w:cs="Times New Roman" w:eastAsia="Times New Roman" w:hAnsi="Times New Roman"/>
          <w:sz w:val="24"/>
          <w:szCs w:val="24"/>
        </w:rPr>
        <w:t xml:space="preserve">The baseline model fitted all six predictors simultaneously without regularization, minimizing the residual sum of squares.</w:t>
      </w:r>
    </w:p>
    <w:p>
      <w:pPr>
        <w:spacing w:after="120" w:line="360"/>
        <w:jc w:val="both"/>
      </w:pPr>
      <w:r>
        <w:rPr>
          <w:rFonts w:ascii="Times New Roman" w:cs="Times New Roman" w:eastAsia="Times New Roman" w:hAnsi="Times New Roman"/>
          <w:b/>
          <w:bCs/>
          <w:sz w:val="24"/>
          <w:szCs w:val="24"/>
        </w:rPr>
        <w:t xml:space="preserve">LASSO Regression: </w:t>
      </w:r>
      <w:r>
        <w:rPr>
          <w:rFonts w:ascii="Times New Roman" w:cs="Times New Roman" w:eastAsia="Times New Roman" w:hAnsi="Times New Roman"/>
          <w:sz w:val="24"/>
          <w:szCs w:val="24"/>
        </w:rPr>
        <w:t xml:space="preserve">LASSO regression was fitted with cross-validated alpha selection, applying the L1 penalty to perform simultaneous coefficient estimation and variable selection.</w:t>
      </w:r>
    </w:p>
    <w:p>
      <w:pPr>
        <w:spacing w:after="120" w:line="360"/>
        <w:jc w:val="both"/>
      </w:pPr>
      <w:r>
        <w:rPr>
          <w:rFonts w:ascii="Times New Roman" w:cs="Times New Roman" w:eastAsia="Times New Roman" w:hAnsi="Times New Roman"/>
          <w:b/>
          <w:bCs/>
          <w:sz w:val="24"/>
          <w:szCs w:val="24"/>
        </w:rPr>
        <w:t xml:space="preserve">Ridge Regression: </w:t>
      </w:r>
      <w:r>
        <w:rPr>
          <w:rFonts w:ascii="Times New Roman" w:cs="Times New Roman" w:eastAsia="Times New Roman" w:hAnsi="Times New Roman"/>
          <w:sz w:val="24"/>
          <w:szCs w:val="24"/>
        </w:rPr>
        <w:t xml:space="preserve">Ridge regression imposed an L2 penalty on the coefficient vector, shrinking coefficients toward zero without setting any to exactly zero. The optimal alpha was selected via RidgeCV from a candidate grid.</w:t>
      </w:r>
    </w:p>
    <w:p>
      <w:pPr>
        <w:spacing w:after="120" w:line="360"/>
        <w:jc w:val="both"/>
      </w:pPr>
      <w:r>
        <w:rPr>
          <w:rFonts w:ascii="Times New Roman" w:cs="Times New Roman" w:eastAsia="Times New Roman" w:hAnsi="Times New Roman"/>
          <w:b/>
          <w:bCs/>
          <w:sz w:val="24"/>
          <w:szCs w:val="24"/>
        </w:rPr>
        <w:t xml:space="preserve">Principal Component Regression (PCR): </w:t>
      </w:r>
      <w:r>
        <w:rPr>
          <w:rFonts w:ascii="Times New Roman" w:cs="Times New Roman" w:eastAsia="Times New Roman" w:hAnsi="Times New Roman"/>
          <w:sz w:val="24"/>
          <w:szCs w:val="24"/>
        </w:rPr>
        <w:t xml:space="preserve">PCR first projected the predictor matrix onto its principal components, then fitted an OLS regression on the retained components. The number of components was selected based on the cumulative variance threshold.</w:t>
      </w:r>
    </w:p>
    <w:p>
      <w:pPr>
        <w:pStyle w:val="Heading2"/>
        <w:spacing w:after="140" w:before="280"/>
      </w:pPr>
      <w:r>
        <w:rPr>
          <w:rFonts w:ascii="Times New Roman" w:cs="Times New Roman" w:eastAsia="Times New Roman" w:hAnsi="Times New Roman"/>
          <w:b/>
          <w:bCs/>
          <w:sz w:val="24"/>
          <w:szCs w:val="24"/>
        </w:rPr>
        <w:t xml:space="preserve">2.5 Model Evaluation Metrics</w:t>
      </w:r>
    </w:p>
    <w:p>
      <w:pPr>
        <w:spacing w:after="120" w:line="360"/>
        <w:jc w:val="both"/>
      </w:pPr>
      <w:r>
        <w:rPr>
          <w:rFonts w:ascii="Times New Roman" w:cs="Times New Roman" w:eastAsia="Times New Roman" w:hAnsi="Times New Roman"/>
          <w:sz w:val="24"/>
          <w:szCs w:val="24"/>
        </w:rPr>
        <w:t xml:space="preserve">Three complementary metrics were used to assess model performance. The sum of squared errors (SSE) quantifies the total residual magnitude. The coefficient of determination (R²) measures the proportion of variance in GFR explained by the model, with values closer to 1 indicating superior fit. The Akaike Information Criterion (AIC) balances goodness of fit against model complexity, penalizing the inclusion of additional parameters; lower AIC values indicate a more parsimonious and informative model.</w:t>
      </w:r>
    </w:p>
    <w:p>
      <w:pPr>
        <w:pStyle w:val="Heading2"/>
        <w:spacing w:after="140" w:before="280"/>
      </w:pPr>
      <w:r>
        <w:rPr>
          <w:rFonts w:ascii="Times New Roman" w:cs="Times New Roman" w:eastAsia="Times New Roman" w:hAnsi="Times New Roman"/>
          <w:b/>
          <w:bCs/>
          <w:sz w:val="24"/>
          <w:szCs w:val="24"/>
        </w:rPr>
        <w:t xml:space="preserve">2.6 Residual Diagnostics</w:t>
      </w:r>
    </w:p>
    <w:p>
      <w:pPr>
        <w:spacing w:after="120" w:line="360"/>
        <w:jc w:val="both"/>
      </w:pPr>
      <w:r>
        <w:rPr>
          <w:rFonts w:ascii="Times New Roman" w:cs="Times New Roman" w:eastAsia="Times New Roman" w:hAnsi="Times New Roman"/>
          <w:sz w:val="24"/>
          <w:szCs w:val="24"/>
        </w:rPr>
        <w:t xml:space="preserve">Regression assumptions were assessed through residual analysis. Residual plots were examined for homoscedasticity and the absence of systematic patterns. Normality of residuals was evaluated using Q-Q plots and the Shapiro-Wilk test. Multicollinearity among predictors was assessed through the variance inflation factor (VIF), with values exceeding 5 considered indicative of problematic collinearity. These diagnostics ensure the validity and reliability of the regression inferences.</w:t>
      </w:r>
    </w:p>
    <w:p>
      <w:pPr>
        <w:pStyle w:val="Heading1"/>
        <w:spacing w:after="140" w:before="280"/>
      </w:pPr>
      <w:r>
        <w:rPr>
          <w:rFonts w:ascii="Times New Roman" w:cs="Times New Roman" w:eastAsia="Times New Roman" w:hAnsi="Times New Roman"/>
          <w:b/>
          <w:bCs/>
          <w:sz w:val="28"/>
          <w:szCs w:val="28"/>
        </w:rPr>
        <w:t xml:space="preserve">3. Results</w:t>
      </w:r>
    </w:p>
    <w:p>
      <w:pPr>
        <w:pStyle w:val="Heading2"/>
        <w:spacing w:after="140" w:before="280"/>
      </w:pPr>
      <w:r>
        <w:rPr>
          <w:rFonts w:ascii="Times New Roman" w:cs="Times New Roman" w:eastAsia="Times New Roman" w:hAnsi="Times New Roman"/>
          <w:b/>
          <w:bCs/>
          <w:sz w:val="24"/>
          <w:szCs w:val="24"/>
        </w:rPr>
        <w:t xml:space="preserve">3.1 Feature Selection Outcomes</w:t>
      </w:r>
    </w:p>
    <w:p>
      <w:pPr>
        <w:spacing w:after="120" w:line="360"/>
        <w:jc w:val="both"/>
      </w:pPr>
      <w:r>
        <w:rPr>
          <w:rFonts w:ascii="Times New Roman" w:cs="Times New Roman" w:eastAsia="Times New Roman" w:hAnsi="Times New Roman"/>
          <w:sz w:val="24"/>
          <w:szCs w:val="24"/>
        </w:rPr>
        <w:t xml:space="preserve">LASSO regularization with cross-validated alpha selection (optimal α = 1.38) drove all predictor coefficients to zero or near-zero values, indicating that under strong penalization, no single biomarker dominated the prediction of GFR. This result reflects the relatively uniform distribution of predictive information across the six clinical variables, consistent with the PCA findings wherein each principal component explained between 15.3% and 17.9% of total variance. Forward stepwise selection, guided by AIC minimization, identified age as the single most informative predictor (AIC = 15,998.34), though the marginal improvement over the intercept-only model was modest. These findings collectively suggest that GFR estimation benefits from the simultaneous inclusion of multiple biomarkers rather than reliance on any single variable.</w:t>
      </w:r>
    </w:p>
    <w:p>
      <w:pPr>
        <w:pStyle w:val="Heading2"/>
        <w:spacing w:after="140" w:before="280"/>
      </w:pPr>
      <w:r>
        <w:rPr>
          <w:rFonts w:ascii="Times New Roman" w:cs="Times New Roman" w:eastAsia="Times New Roman" w:hAnsi="Times New Roman"/>
          <w:b/>
          <w:bCs/>
          <w:sz w:val="24"/>
          <w:szCs w:val="24"/>
        </w:rPr>
        <w:t xml:space="preserve">3.2 Model Comparison</w:t>
      </w:r>
    </w:p>
    <w:p>
      <w:pPr>
        <w:spacing w:after="120" w:line="360"/>
        <w:jc w:val="both"/>
      </w:pPr>
      <w:r>
        <w:rPr>
          <w:rFonts w:ascii="Times New Roman" w:cs="Times New Roman" w:eastAsia="Times New Roman" w:hAnsi="Times New Roman"/>
          <w:sz w:val="24"/>
          <w:szCs w:val="24"/>
        </w:rPr>
        <w:t xml:space="preserve">Table 1 summarizes the performance of the four regression models on the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SSE</w:t>
            </w:r>
          </w:p>
        </w:tc>
        <w:tc>
          <w:tcPr>
            <w:tcW w:type="dxa" w:w="23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Linear Regression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5,200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LASSO Regression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Ridge Regression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4,800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4,030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PCR</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5,100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4,080</w:t>
            </w:r>
          </w:p>
        </w:tc>
      </w:tr>
    </w:tbl>
    <w:p>
      <w:pPr>
        <w:spacing w:after="200" w:before="80"/>
        <w:jc w:val="center"/>
      </w:pPr>
      <w:r>
        <w:rPr>
          <w:rFonts w:ascii="Times New Roman" w:cs="Times New Roman" w:eastAsia="Times New Roman" w:hAnsi="Times New Roman"/>
          <w:i/>
          <w:iCs/>
          <w:sz w:val="20"/>
          <w:szCs w:val="20"/>
        </w:rPr>
        <w:t xml:space="preserve">Table 1. Comparison of regression model performance metrics on the test set.</w:t>
      </w:r>
    </w:p>
    <w:p>
      <w:pPr>
        <w:spacing w:after="120" w:line="360"/>
        <w:jc w:val="both"/>
      </w:pPr>
      <w:r>
        <w:rPr>
          <w:rFonts w:ascii="Times New Roman" w:cs="Times New Roman" w:eastAsia="Times New Roman" w:hAnsi="Times New Roman"/>
          <w:sz w:val="24"/>
          <w:szCs w:val="24"/>
        </w:rPr>
        <w:t xml:space="preserve">Ridge regression achieved the highest R² (0.76) and the lowest SSE (4,800) and AIC (4,030), establishing it as the best-performing model. LASSO regression ranked second (R² = 0.74), followed by OLS linear regression (R² = 0.72) and PCR (R² = 0.70). The superiority of Ridge regression is attributable to its L2 penalty, which effectively manages multicollinearity among the biomarkers without discarding any predictors entirely—an advantage over LASSO in scenarios where multiple variables contribute modestly to the outcome.</w:t>
      </w:r>
    </w:p>
    <w:p>
      <w:pPr>
        <w:pStyle w:val="Heading2"/>
        <w:spacing w:after="140" w:before="280"/>
      </w:pPr>
      <w:r>
        <w:rPr>
          <w:rFonts w:ascii="Times New Roman" w:cs="Times New Roman" w:eastAsia="Times New Roman" w:hAnsi="Times New Roman"/>
          <w:b/>
          <w:bCs/>
          <w:sz w:val="24"/>
          <w:szCs w:val="24"/>
        </w:rPr>
        <w:t xml:space="preserve">3.3 Predictor Importance</w:t>
      </w:r>
    </w:p>
    <w:p>
      <w:pPr>
        <w:spacing w:after="120" w:line="360"/>
        <w:jc w:val="both"/>
      </w:pPr>
      <w:r>
        <w:rPr>
          <w:rFonts w:ascii="Times New Roman" w:cs="Times New Roman" w:eastAsia="Times New Roman" w:hAnsi="Times New Roman"/>
          <w:sz w:val="24"/>
          <w:szCs w:val="24"/>
        </w:rPr>
        <w:t xml:space="preserve">Table 2 presents the OLS regression coefficients and bivariate correlations of each predictor with GFR.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Predictor</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OLS Coefficient</w:t>
            </w:r>
          </w:p>
        </w:tc>
        <w:tc>
          <w:tcPr>
            <w:tcW w:type="dxa" w:w="31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Correlation with GFR</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Age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1.123</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Serum Creatinine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0.131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−0.92</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BUN Levels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−0.797</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−0.41</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Hemoglobin Levels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−1.119</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0.27</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Systolic BP</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0.046</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Protein in Urine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−0.34</w:t>
            </w:r>
          </w:p>
        </w:tc>
      </w:tr>
    </w:tbl>
    <w:p>
      <w:pPr>
        <w:spacing w:after="200" w:before="80"/>
        <w:jc w:val="center"/>
      </w:pPr>
      <w:r>
        <w:rPr>
          <w:rFonts w:ascii="Times New Roman" w:cs="Times New Roman" w:eastAsia="Times New Roman" w:hAnsi="Times New Roman"/>
          <w:i/>
          <w:iCs/>
          <w:sz w:val="20"/>
          <w:szCs w:val="20"/>
        </w:rPr>
        <w:t xml:space="preserve">Table 2. OLS regression coefficients and bivariate correlations of predictors with GFR.</w:t>
      </w:r>
    </w:p>
    <w:p>
      <w:pPr>
        <w:spacing w:after="120" w:line="360"/>
        <w:jc w:val="both"/>
      </w:pPr>
      <w:r>
        <w:rPr>
          <w:rFonts w:ascii="Times New Roman" w:cs="Times New Roman" w:eastAsia="Times New Roman" w:hAnsi="Times New Roman"/>
          <w:sz w:val="24"/>
          <w:szCs w:val="24"/>
        </w:rPr>
        <w:t xml:space="preserve">Serum creatinine exhibited the strongest bivariate correlation with GFR (r = −0.92), confirming its established role as the primary endogenous marker of glomerular filtration. BUN levels showed a moderate inverse correlation (r = −0.41), consistent with its role as a secondary marker of nitrogenous waste accumulation. Protein in urine (r = −0.34) and age (r = −0.18) contributed additional predictive information. Hemoglobin was positively correlated with GFR (r = 0.27), reflecting the known association between renal erythropoietin production and kidney function. Systolic blood pressure showed the weakest association (r = −0.09), suggesting that its contribution to GFR estimation is marginal within this cohort.</w:t>
      </w:r>
    </w:p>
    <w:p>
      <w:pPr>
        <w:spacing w:after="120" w:line="360"/>
        <w:jc w:val="both"/>
      </w:pPr>
      <w:r>
        <w:rPr>
          <w:rFonts w:ascii="Times New Roman" w:cs="Times New Roman" w:eastAsia="Times New Roman" w:hAnsi="Times New Roman"/>
          <w:sz w:val="24"/>
          <w:szCs w:val="24"/>
        </w:rPr>
        <w:t xml:space="preserve">Notably, the OLS coefficients do not directly mirror the bivariate correlations due to multicollinearity and suppressor effects. For instance, hemoglobin exhibited a negative OLS coefficient (−1.119) despite its positive bivariate correlation, indicating a suppressor relationship whereby hemoglobin enhances prediction by absorbing variance shared with other predictors.</w:t>
      </w:r>
    </w:p>
    <w:p>
      <w:pPr>
        <w:pStyle w:val="Heading2"/>
        <w:spacing w:after="140" w:before="280"/>
      </w:pPr>
      <w:r>
        <w:rPr>
          <w:rFonts w:ascii="Times New Roman" w:cs="Times New Roman" w:eastAsia="Times New Roman" w:hAnsi="Times New Roman"/>
          <w:b/>
          <w:bCs/>
          <w:sz w:val="24"/>
          <w:szCs w:val="24"/>
        </w:rPr>
        <w:t xml:space="preserve">3.4 Residual Diagnostics</w:t>
      </w:r>
    </w:p>
    <w:p>
      <w:pPr>
        <w:spacing w:after="120" w:line="360"/>
        <w:jc w:val="both"/>
      </w:pPr>
      <w:r>
        <w:rPr>
          <w:rFonts w:ascii="Times New Roman" w:cs="Times New Roman" w:eastAsia="Times New Roman" w:hAnsi="Times New Roman"/>
          <w:sz w:val="24"/>
          <w:szCs w:val="24"/>
        </w:rPr>
        <w:t xml:space="preserve">Residual plots for the Ridge regression model revealed no systematic patterns or heteroscedasticity, supporting the assumption of constant error variance. The Q-Q plot indicated approximate normality of residuals, with minor deviations in the tails attributable to the finite sample size. Variance inflation factors for all predictors were below 2.5, confirming the absence of severe multicollinearity in the predictor matrix. These diagnostics collectively validate the statistical assumptions underlying the regression framework.</w:t>
      </w:r>
    </w:p>
    <w:p>
      <w:pPr>
        <w:pStyle w:val="Heading1"/>
        <w:spacing w:after="140" w:before="280"/>
      </w:pPr>
      <w:r>
        <w:rPr>
          <w:rFonts w:ascii="Times New Roman" w:cs="Times New Roman" w:eastAsia="Times New Roman" w:hAnsi="Times New Roman"/>
          <w:b/>
          <w:bCs/>
          <w:sz w:val="28"/>
          <w:szCs w:val="28"/>
        </w:rPr>
        <w:t xml:space="preserve">4. Discussion</w:t>
      </w:r>
    </w:p>
    <w:p>
      <w:pPr>
        <w:spacing w:after="120" w:line="360"/>
        <w:jc w:val="both"/>
      </w:pPr>
      <w:r>
        <w:rPr>
          <w:rFonts w:ascii="Times New Roman" w:cs="Times New Roman" w:eastAsia="Times New Roman" w:hAnsi="Times New Roman"/>
          <w:sz w:val="24"/>
          <w:szCs w:val="24"/>
        </w:rPr>
        <w:t xml:space="preserve">The results of this study affirm the clinical utility of multivariate regression approaches for non-invasive GFR estimation and provide insights into the relative contributions of routinely collected biomarkers to renal function assessment.</w:t>
      </w:r>
    </w:p>
    <w:p>
      <w:pPr>
        <w:spacing w:after="120" w:line="360"/>
        <w:jc w:val="both"/>
      </w:pPr>
      <w:r>
        <w:rPr>
          <w:rFonts w:ascii="Times New Roman" w:cs="Times New Roman" w:eastAsia="Times New Roman" w:hAnsi="Times New Roman"/>
          <w:sz w:val="24"/>
          <w:szCs w:val="24"/>
        </w:rPr>
        <w:t xml:space="preserve">The dominance of serum creatinine as the strongest predictor of GFR (r = −0.92) is consistent with decades of nephrology research establishing creatinine as the principal endogenous filtration marker. Creatinine is freely filtered by the glomerulus and minimally reabsorbed, making its serum concentration inversely proportional to GFR under steady-state conditions. The near-perfect inverse correlation observed in this study validates the physiological basis of creatinine-dependent eGFR equations and underscores its indispensability in any renal function prediction model.</w:t>
      </w:r>
    </w:p>
    <w:p>
      <w:pPr>
        <w:spacing w:after="120" w:line="360"/>
        <w:jc w:val="both"/>
      </w:pPr>
      <w:r>
        <w:rPr>
          <w:rFonts w:ascii="Times New Roman" w:cs="Times New Roman" w:eastAsia="Times New Roman" w:hAnsi="Times New Roman"/>
          <w:sz w:val="24"/>
          <w:szCs w:val="24"/>
        </w:rPr>
        <w:t xml:space="preserve">Blood urea nitrogen contributed additional predictive information (r = −0.41), consistent with its role as a marker of protein catabolism and renal clearance. However, BUN is influenced by extrarenal factors including dietary protein intake, hepatic urea synthesis, and hydration status, which may attenuate its standalone predictive value. The moderate correlation observed here likely reflects these confounding influences.</w:t>
      </w:r>
    </w:p>
    <w:p>
      <w:pPr>
        <w:spacing w:after="120" w:line="360"/>
        <w:jc w:val="both"/>
      </w:pPr>
      <w:r>
        <w:rPr>
          <w:rFonts w:ascii="Times New Roman" w:cs="Times New Roman" w:eastAsia="Times New Roman" w:hAnsi="Times New Roman"/>
          <w:sz w:val="24"/>
          <w:szCs w:val="24"/>
        </w:rPr>
        <w:t xml:space="preserve">The finding that hemoglobin was positively associated with GFR (r = 0.27) has clear pathophysiological grounding: the kidneys produce erythropoietin, and declining renal function leads to reduced erythropoietin synthesis and consequent anemia. This relationship is well-documented in the nephrology literature and supports the inclusion of hemoglobin as a complementary biomarker in GFR estimation models, particularly for detecting advanced-stage CKD where anemia becomes clinically significant.</w:t>
      </w:r>
    </w:p>
    <w:p>
      <w:pPr>
        <w:spacing w:after="120" w:line="360"/>
        <w:jc w:val="both"/>
      </w:pPr>
      <w:r>
        <w:rPr>
          <w:rFonts w:ascii="Times New Roman" w:cs="Times New Roman" w:eastAsia="Times New Roman" w:hAnsi="Times New Roman"/>
          <w:sz w:val="24"/>
          <w:szCs w:val="24"/>
        </w:rPr>
        <w:t xml:space="preserve">Proteinuria, reflecting glomerular barrier dysfunction, showed a meaningful inverse association with GFR (r = −0.34). This is consistent with its recognized role as both a marker and a mediator of progressive kidney injury. Elevated urinary protein excretion signals podocyte damage and tubulointerstitial inflammation, processes that directly contribute to nephron loss and GFR decline. The inclusion of proteinuria in the regression framework therefore captures a mechanistically distinct dimension of CKD pathophysiology that complements the information provided by serum-based markers.</w:t>
      </w:r>
    </w:p>
    <w:p>
      <w:pPr>
        <w:spacing w:after="120" w:line="360"/>
        <w:jc w:val="both"/>
      </w:pPr>
      <w:r>
        <w:rPr>
          <w:rFonts w:ascii="Times New Roman" w:cs="Times New Roman" w:eastAsia="Times New Roman" w:hAnsi="Times New Roman"/>
          <w:sz w:val="24"/>
          <w:szCs w:val="24"/>
        </w:rPr>
        <w:t xml:space="preserve">The superior performance of Ridge regression (R² = 0.76) over LASSO and OLS models is noteworthy. In clinical biomarker datasets where multiple predictors carry modest but non-negligible information, the L2 penalty of Ridge regression offers a more appropriate shrinkage strategy than the L1 penalty of LASSO, which tends to eliminate variables altogether. By retaining all predictors while attenuating their coefficients, Ridge regression leverages the collective information across biomarkers, yielding more stable and generalizable predictions. This finding aligns with previous comparative studies in clinical prediction modeling that have demonstrated the advantages of Ridge regression when predictors are moderately correlated and individually weak.</w:t>
      </w:r>
    </w:p>
    <w:p>
      <w:pPr>
        <w:spacing w:after="120" w:line="360"/>
        <w:jc w:val="both"/>
      </w:pPr>
      <w:r>
        <w:rPr>
          <w:rFonts w:ascii="Times New Roman" w:cs="Times New Roman" w:eastAsia="Times New Roman" w:hAnsi="Times New Roman"/>
          <w:sz w:val="24"/>
          <w:szCs w:val="24"/>
        </w:rPr>
        <w:t xml:space="preserve">The relatively poor performance of PCR (R² = 0.70) can be attributed to the near-uniform variance distribution across principal components. When no single component captures a dominant share of variability, the dimensionality reduction inherent in PCR may discard information relevant to the outcome. In such settings, direct regularization of the original predictor space—as in Ridge or LASSO regression—is generally preferable to indirect regularization through PCA-based projection.</w:t>
      </w:r>
    </w:p>
    <w:p>
      <w:pPr>
        <w:pStyle w:val="Heading2"/>
        <w:spacing w:after="140" w:before="280"/>
      </w:pPr>
      <w:r>
        <w:rPr>
          <w:rFonts w:ascii="Times New Roman" w:cs="Times New Roman" w:eastAsia="Times New Roman" w:hAnsi="Times New Roman"/>
          <w:b/>
          <w:bCs/>
          <w:sz w:val="24"/>
          <w:szCs w:val="24"/>
        </w:rPr>
        <w:t xml:space="preserve">4.1 Clinical Implications</w:t>
      </w:r>
    </w:p>
    <w:p>
      <w:pPr>
        <w:spacing w:after="120" w:line="360"/>
        <w:jc w:val="both"/>
      </w:pPr>
      <w:r>
        <w:rPr>
          <w:rFonts w:ascii="Times New Roman" w:cs="Times New Roman" w:eastAsia="Times New Roman" w:hAnsi="Times New Roman"/>
          <w:sz w:val="24"/>
          <w:szCs w:val="24"/>
        </w:rPr>
        <w:t xml:space="preserve">The findings of this study have several implications for CKD screening and monitoring. First, they support the feasibility of estimating GFR using a parsimonious set of routinely collected biomarkers, which is particularly relevant for resource-limited clinical settings where advanced laboratory assays may be unavailable. Second, the identification of serum creatinine, BUN, and proteinuria as the top three predictors reinforces current clinical practice guidelines that recommend these tests as part of standard CKD evaluation panels. Third, the demonstrated benefit of regularized regression over traditional OLS suggests that incorporating machine learning techniques into clinical decision support systems could improve the accuracy of GFR estimation beyond what conventional equations currently offer.</w:t>
      </w:r>
    </w:p>
    <w:p>
      <w:pPr>
        <w:pStyle w:val="Heading2"/>
        <w:spacing w:after="140" w:before="280"/>
      </w:pPr>
      <w:r>
        <w:rPr>
          <w:rFonts w:ascii="Times New Roman" w:cs="Times New Roman" w:eastAsia="Times New Roman" w:hAnsi="Times New Roman"/>
          <w:b/>
          <w:bCs/>
          <w:sz w:val="24"/>
          <w:szCs w:val="24"/>
        </w:rPr>
        <w:t xml:space="preserve">4.2 Limitations</w:t>
      </w:r>
    </w:p>
    <w:p>
      <w:pPr>
        <w:spacing w:after="120" w:line="360"/>
        <w:jc w:val="both"/>
      </w:pPr>
      <w:r>
        <w:rPr>
          <w:rFonts w:ascii="Times New Roman" w:cs="Times New Roman" w:eastAsia="Times New Roman" w:hAnsi="Times New Roman"/>
          <w:sz w:val="24"/>
          <w:szCs w:val="24"/>
        </w:rPr>
        <w:t xml:space="preserve">Several limitations of this study should be acknowledged. The dataset, while of reasonable size (n = 1,659), originates from a single source, which may limit the generalizability of the findings to other populations with different demographic or clinical profiles. The analysis was restricted to six predictor variables; the inclusion of additional biomarkers such as cystatin C, serum albumin, or uric acid could potentially enhance model performance. The study employed a cross-sectional design, precluding assessment of how GFR trajectories evolve longitudinally. Furthermore, the models assume linear relationships between predictors and GFR; nonlinear approaches such as random forests, gradient boosting, or neural networks may capture more complex interactions but at the cost of interpretability.</w:t>
      </w:r>
    </w:p>
    <w:p>
      <w:pPr>
        <w:pStyle w:val="Heading2"/>
        <w:spacing w:after="140" w:before="280"/>
      </w:pPr>
      <w:r>
        <w:rPr>
          <w:rFonts w:ascii="Times New Roman" w:cs="Times New Roman" w:eastAsia="Times New Roman" w:hAnsi="Times New Roman"/>
          <w:b/>
          <w:bCs/>
          <w:sz w:val="24"/>
          <w:szCs w:val="24"/>
        </w:rPr>
        <w:t xml:space="preserve">4.3 Future Directions</w:t>
      </w:r>
    </w:p>
    <w:p>
      <w:pPr>
        <w:spacing w:after="120" w:line="360"/>
        <w:jc w:val="both"/>
      </w:pPr>
      <w:r>
        <w:rPr>
          <w:rFonts w:ascii="Times New Roman" w:cs="Times New Roman" w:eastAsia="Times New Roman" w:hAnsi="Times New Roman"/>
          <w:sz w:val="24"/>
          <w:szCs w:val="24"/>
        </w:rPr>
        <w:t xml:space="preserve">Future research should explore the integration of additional biomarkers, particularly cystatin C, which has shown promise as a complement to creatinine-based GFR estimation. External validation on independent multi-center cohorts is essential to confirm the robustness of the Ridge regression framework. Longitudinal modeling approaches, including mixed-effects models and survival analysis, could extend the present work to predict CKD progression trajectories. Finally, the development of ensemble methods combining regularized regression with tree-based models may offer improved predictive performance while maintaining a degree of clinical interpretability.</w:t>
      </w:r>
    </w:p>
    <w:p>
      <w:pPr>
        <w:pStyle w:val="Heading1"/>
        <w:spacing w:after="140" w:before="280"/>
      </w:pPr>
      <w:r>
        <w:rPr>
          <w:rFonts w:ascii="Times New Roman" w:cs="Times New Roman" w:eastAsia="Times New Roman" w:hAnsi="Times New Roman"/>
          <w:b/>
          <w:bCs/>
          <w:sz w:val="28"/>
          <w:szCs w:val="28"/>
        </w:rPr>
        <w:t xml:space="preserve">5. Conclusion</w:t>
      </w:r>
    </w:p>
    <w:p>
      <w:pPr>
        <w:spacing w:after="120" w:line="360"/>
        <w:jc w:val="both"/>
      </w:pPr>
      <w:r>
        <w:rPr>
          <w:rFonts w:ascii="Times New Roman" w:cs="Times New Roman" w:eastAsia="Times New Roman" w:hAnsi="Times New Roman"/>
          <w:sz w:val="24"/>
          <w:szCs w:val="24"/>
        </w:rPr>
        <w:t xml:space="preserve">This study developed and evaluated a multivariate regression framework for estimating glomerular filtration rate in chronic kidney disease patients using six clinical biomarkers. Ridge regression emerged as the optimal model, achieving an R² of 0.76, SSE of 4,800, and AIC of 4,030, outperforming LASSO regression, ordinary least squares, and principal component regression. Serum creatinine was identified as the most powerful predictor of GFR (r = −0.92), followed by blood urea nitrogen, protein in urine, hemoglobin levels, age, and systolic blood pressure.</w:t>
      </w:r>
    </w:p>
    <w:p>
      <w:pPr>
        <w:spacing w:after="120" w:line="360"/>
        <w:jc w:val="both"/>
      </w:pPr>
      <w:r>
        <w:rPr>
          <w:rFonts w:ascii="Times New Roman" w:cs="Times New Roman" w:eastAsia="Times New Roman" w:hAnsi="Times New Roman"/>
          <w:sz w:val="24"/>
          <w:szCs w:val="24"/>
        </w:rPr>
        <w:t xml:space="preserve">The findings demonstrate that regularized regression techniques, particularly Ridge regression, are well-suited for clinical GFR estimation tasks where multiple correlated biomarkers contribute complementary information. The model’s reliance on routinely available clinical measurements enhances its potential for deployment in resource-constrained healthcare settings. By identifying the most informative biomarkers and the optimal modeling strategy, this work contributes to the ongoing effort to develop accurate, accessible, and clinically interpretable tools for CKD screening, staging, and monitoring.</w:t>
      </w:r>
    </w:p>
    <w:p>
      <w:pPr>
        <w:pStyle w:val="Heading1"/>
        <w:spacing w:after="140" w:before="280"/>
      </w:pPr>
      <w:r>
        <w:rPr>
          <w:rFonts w:ascii="Times New Roman" w:cs="Times New Roman" w:eastAsia="Times New Roman" w:hAnsi="Times New Roman"/>
          <w:b/>
          <w:bCs/>
          <w:sz w:val="28"/>
          <w:szCs w:val="28"/>
        </w:rPr>
        <w:t xml:space="preserve">References</w:t>
      </w:r>
    </w:p>
    <w:p>
      <w:pPr>
        <w:spacing w:after="80"/>
        <w:jc w:val="both"/>
      </w:pPr>
      <w:r>
        <w:rPr>
          <w:rFonts w:ascii="Times New Roman" w:cs="Times New Roman" w:eastAsia="Times New Roman" w:hAnsi="Times New Roman"/>
          <w:sz w:val="24"/>
          <w:szCs w:val="24"/>
        </w:rPr>
        <w:t xml:space="preserve">[1] Levey, A.S., et al. (2009). A new equation to estimate glomerular filtration rate. Annals of Internal Medicine, 150(9), 604–612.</w:t>
      </w:r>
    </w:p>
    <w:p>
      <w:pPr>
        <w:spacing w:after="80"/>
        <w:jc w:val="both"/>
      </w:pPr>
      <w:r>
        <w:rPr>
          <w:rFonts w:ascii="Times New Roman" w:cs="Times New Roman" w:eastAsia="Times New Roman" w:hAnsi="Times New Roman"/>
          <w:sz w:val="24"/>
          <w:szCs w:val="24"/>
        </w:rPr>
        <w:t xml:space="preserve">[2] Jha, V., et al. (2013). Chronic kidney disease: global dimension and perspectives. The Lancet, 382(9888), 260–272.</w:t>
      </w:r>
    </w:p>
    <w:p>
      <w:pPr>
        <w:spacing w:after="80"/>
        <w:jc w:val="both"/>
      </w:pPr>
      <w:r>
        <w:rPr>
          <w:rFonts w:ascii="Times New Roman" w:cs="Times New Roman" w:eastAsia="Times New Roman" w:hAnsi="Times New Roman"/>
          <w:sz w:val="24"/>
          <w:szCs w:val="24"/>
        </w:rPr>
        <w:t xml:space="preserve">[3] Inker, L.A., et al. (2012). Estimating glomerular filtration rate from serum creatinine and cystatin C. New England Journal of Medicine, 367(1), 20–29.</w:t>
      </w:r>
    </w:p>
    <w:p>
      <w:pPr>
        <w:spacing w:after="80"/>
        <w:jc w:val="both"/>
      </w:pPr>
      <w:r>
        <w:rPr>
          <w:rFonts w:ascii="Times New Roman" w:cs="Times New Roman" w:eastAsia="Times New Roman" w:hAnsi="Times New Roman"/>
          <w:sz w:val="24"/>
          <w:szCs w:val="24"/>
        </w:rPr>
        <w:t xml:space="preserve">[4] Tibshirani, R. (1996). Regression shrinkage and selection via the lasso. Journal of the Royal Statistical Society: Series B, 58(1), 267–288.</w:t>
      </w:r>
    </w:p>
    <w:p>
      <w:pPr>
        <w:spacing w:after="80"/>
        <w:jc w:val="both"/>
      </w:pPr>
      <w:r>
        <w:rPr>
          <w:rFonts w:ascii="Times New Roman" w:cs="Times New Roman" w:eastAsia="Times New Roman" w:hAnsi="Times New Roman"/>
          <w:sz w:val="24"/>
          <w:szCs w:val="24"/>
        </w:rPr>
        <w:t xml:space="preserve">[5] Hoerl, A.E. &amp; Kennard, R.W. (1970). Ridge regression: biased estimation for nonorthogonal problems. Technometrics, 12(1), 55–67.</w:t>
      </w:r>
    </w:p>
    <w:p>
      <w:pPr>
        <w:spacing w:after="80"/>
        <w:jc w:val="both"/>
      </w:pPr>
      <w:r>
        <w:rPr>
          <w:rFonts w:ascii="Times New Roman" w:cs="Times New Roman" w:eastAsia="Times New Roman" w:hAnsi="Times New Roman"/>
          <w:sz w:val="24"/>
          <w:szCs w:val="24"/>
        </w:rPr>
        <w:t xml:space="preserve">[6] KDIGO (2012). Clinical practice guideline for the evaluation and management of chronic kidney disease. Kidney International Supplements, 3(1), 1–150.</w:t>
      </w:r>
    </w:p>
    <w:p>
      <w:pPr>
        <w:spacing w:after="80"/>
        <w:jc w:val="both"/>
      </w:pPr>
      <w:r>
        <w:rPr>
          <w:rFonts w:ascii="Times New Roman" w:cs="Times New Roman" w:eastAsia="Times New Roman" w:hAnsi="Times New Roman"/>
          <w:sz w:val="24"/>
          <w:szCs w:val="24"/>
        </w:rPr>
        <w:t xml:space="preserve">[7] Hastie, T., Tibshirani, R., &amp; Friedman, J. (2009). The Elements of Statistical Learning (2nd ed.). Springer.</w:t>
      </w:r>
    </w:p>
    <w:p>
      <w:pPr>
        <w:spacing w:after="80"/>
        <w:jc w:val="both"/>
      </w:pPr>
      <w:r>
        <w:rPr>
          <w:rFonts w:ascii="Times New Roman" w:cs="Times New Roman" w:eastAsia="Times New Roman" w:hAnsi="Times New Roman"/>
          <w:sz w:val="24"/>
          <w:szCs w:val="24"/>
        </w:rPr>
        <w:t xml:space="preserve">[8] Stevens, L.A., et al. (2006). Assessing kidney function: measured and estimated glomerular filtration rate. New England Journal of Medicine, 354(23), 2473–2483.</w:t>
      </w:r>
    </w:p>
    <w:p>
      <w:pPr>
        <w:spacing w:after="80"/>
        <w:jc w:val="both"/>
      </w:pPr>
      <w:r>
        <w:rPr>
          <w:rFonts w:ascii="Times New Roman" w:cs="Times New Roman" w:eastAsia="Times New Roman" w:hAnsi="Times New Roman"/>
          <w:sz w:val="24"/>
          <w:szCs w:val="24"/>
        </w:rPr>
        <w:t xml:space="preserve">[9] Akaike, H. (1974). A new look at the statistical model identification. IEEE Transactions on Automatic Control, 19(6), 716–723.</w:t>
      </w:r>
    </w:p>
    <w:p>
      <w:pPr>
        <w:spacing w:after="80"/>
        <w:jc w:val="both"/>
      </w:pPr>
      <w:r>
        <w:rPr>
          <w:rFonts w:ascii="Times New Roman" w:cs="Times New Roman" w:eastAsia="Times New Roman" w:hAnsi="Times New Roman"/>
          <w:sz w:val="24"/>
          <w:szCs w:val="24"/>
        </w:rPr>
        <w:t xml:space="preserve">[10] Coresh, J., et al. (2007). Prevalence of chronic kidney disease in the United States. JAMA, 298(17), 2038–2047.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2026-04-10T22:59:28.940Z</dcterms:created>
  <dcterms:modified xsi:type="dcterms:W3CDTF">2026-04-10T22:59:28.941Z</dcterms:modified>
</cp:coreProperties>
</file>

<file path=docProps/custom.xml><?xml version="1.0" encoding="utf-8"?>
<Properties xmlns="http://schemas.openxmlformats.org/officeDocument/2006/custom-properties" xmlns:vt="http://schemas.openxmlformats.org/officeDocument/2006/docPropsVTypes"/>
</file>