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D36"/>
          <w:sz w:val="40"/>
          <w:szCs w:val="40"/>
        </w:rPr>
        <w:t xml:space="preserve">선물환(FX Forward) 거래 케이스별 서류 체크리스트</w:t>
      </w:r>
    </w:p>
    <w:p>
      <w:pPr>
        <w:spacing w:after="240"/>
        <w:jc w:val="center"/>
      </w:pPr>
      <w:r>
        <w:rPr>
          <w:color w:val="6B7F7A"/>
          <w:sz w:val="18"/>
          <w:szCs w:val="18"/>
        </w:rPr>
        <w:t xml:space="preserve">근거: 「외환 및 파생상품거래업무지침」(2025.12.30 개정) · 「장외파생상품 업무매뉴얼: 선물환」(2025.12) · 붙임2 계약이행보증금 적립기준</w:t>
      </w:r>
    </w:p>
    <w:p>
      <w:pPr>
        <w:shd w:fill="00A88E" w:val="clear"/>
        <w:spacing w:after="140" w:before="300"/>
      </w:pPr>
      <w:r>
        <w:rPr>
          <w:b/>
          <w:bCs/>
          <w:color w:val="FFFFFF"/>
          <w:sz w:val="28"/>
          <w:szCs w:val="28"/>
        </w:rPr>
        <w:t xml:space="preserve">  CASE 1 — 신규 업체 최초 거래 (외환한도 신규 설정)</w:t>
      </w:r>
    </w:p>
    <w:p>
      <w:pPr>
        <w:spacing w:after="100"/>
      </w:pPr>
      <w:r>
        <w:rPr>
          <w:color w:val="6B7F7A"/>
          <w:sz w:val="19"/>
          <w:szCs w:val="19"/>
        </w:rPr>
        <w:t xml:space="preserve">Nexpia: [5803] 투자자정보 확인 → [5116] 외환한도 등록 (720 보증금 면제한도 / 721 건별 적립계좌) · BPR 커버페이지: 한도계좌번호(720-xx, 721-xx) · 여신문서와 분리 배송</w:t>
      </w:r>
    </w:p>
    <w:p>
      <w:pPr>
        <w:spacing w:after="80" w:before="200"/>
      </w:pPr>
      <w:r>
        <w:rPr>
          <w:b/>
          <w:bCs/>
          <w:color w:val="00A88E"/>
          <w:sz w:val="23"/>
          <w:szCs w:val="23"/>
        </w:rPr>
        <w:t xml:space="preserve">■ 1. 계약 서류 (최초 1회)</w:t>
      </w:r>
    </w:p>
    <w:tbl>
      <w:tblPr>
        <w:tblW w:type="dxa" w:w="10000"/>
        <w:tblBorders>
          <w:top w:val="single" w:color="DDE6E3" w:sz="4"/>
          <w:left w:val="single" w:color="DDE6E3" w:sz="4"/>
          <w:bottom w:val="single" w:color="DDE6E3" w:sz="4"/>
          <w:right w:val="single" w:color="DDE6E3" w:sz="4"/>
          <w:insideH w:val="single" w:color="DDE6E3" w:sz="4"/>
          <w:insideV w:val="single" w:color="DDE6E3" w:sz="4"/>
        </w:tblBorders>
      </w:tblPr>
      <w:tblGrid>
        <w:gridCol w:w="700"/>
        <w:gridCol w:w="5600"/>
        <w:gridCol w:w="3700"/>
      </w:tblGrid>
      <w:tr>
        <w:trPr>
          <w:tblHeader/>
        </w:trP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확인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체크 항목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미비 방지 포인트 / 근거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장외파생상품거래 기본계약서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간인 필수: 당행(부점장 직인)/고객(명판·인감), 제11조 지연배상금 연 15% 기입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장외파생상품거래 담보계약서 (한도계좌별)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간인 필수. 720: 신용한도액=승인 면제금액 / 721: 건별 보증금·평가율 100% 기재, 최소이전금액 통상 0원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일반위험고지문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설명 후 고객 작성, 원본 당행 보관·사본 교부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장외파생상품 매매명세 및 평가내역 통지 요청서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통지방법·수령방법 지정 (월별 통지의 근거)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파생상품거래 담당자 및 거래인감(서명감) 신고서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이후 개별거래는 신고된 담당자와만 체결 가능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금융거래정보 이용제공동의서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징구일로부터 12개월 유효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제20조 특별조건 운용 시 준법감시부 사전감시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특약 추가 전 사전감시 누락 금지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b/>
          <w:bCs/>
          <w:color w:val="2B6CD4"/>
          <w:sz w:val="23"/>
          <w:szCs w:val="23"/>
        </w:rPr>
        <w:t xml:space="preserve">■ 2. 실명·법인 확인 서류</w:t>
      </w:r>
    </w:p>
    <w:tbl>
      <w:tblPr>
        <w:tblW w:type="dxa" w:w="10000"/>
        <w:tblBorders>
          <w:top w:val="single" w:color="DDE6E3" w:sz="4"/>
          <w:left w:val="single" w:color="DDE6E3" w:sz="4"/>
          <w:bottom w:val="single" w:color="DDE6E3" w:sz="4"/>
          <w:right w:val="single" w:color="DDE6E3" w:sz="4"/>
          <w:insideH w:val="single" w:color="DDE6E3" w:sz="4"/>
          <w:insideV w:val="single" w:color="DDE6E3" w:sz="4"/>
        </w:tblBorders>
      </w:tblPr>
      <w:tblGrid>
        <w:gridCol w:w="700"/>
        <w:gridCol w:w="5600"/>
        <w:gridCol w:w="3700"/>
      </w:tblGrid>
      <w:tr>
        <w:trPr>
          <w:tblHeader/>
        </w:trP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확인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체크 항목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미비 방지 포인트 / 근거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개인사업자: 인감증명서 / 개인실명확인증표 / 사업자등록증 사본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본인 직접 진행(대리 불가)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법인: 법인인감증명서 / 등기부등본 / 사업자등록증 사본 / 정관 / 이사회 의사록(필요시)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적법하게 지정된 대리인과 진행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b/>
          <w:bCs/>
          <w:color w:val="C77B06"/>
          <w:sz w:val="23"/>
          <w:szCs w:val="23"/>
        </w:rPr>
        <w:t xml:space="preserve">■ 3. 투자자 확인 서류 (유형별)</w:t>
      </w:r>
    </w:p>
    <w:tbl>
      <w:tblPr>
        <w:tblW w:type="dxa" w:w="10000"/>
        <w:tblBorders>
          <w:top w:val="single" w:color="DDE6E3" w:sz="4"/>
          <w:left w:val="single" w:color="DDE6E3" w:sz="4"/>
          <w:bottom w:val="single" w:color="DDE6E3" w:sz="4"/>
          <w:right w:val="single" w:color="DDE6E3" w:sz="4"/>
          <w:insideH w:val="single" w:color="DDE6E3" w:sz="4"/>
          <w:insideV w:val="single" w:color="DDE6E3" w:sz="4"/>
        </w:tblBorders>
      </w:tblPr>
      <w:tblGrid>
        <w:gridCol w:w="700"/>
        <w:gridCol w:w="5600"/>
        <w:gridCol w:w="3700"/>
      </w:tblGrid>
      <w:tr>
        <w:trPr>
          <w:tblHeader/>
        </w:trP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확인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체크 항목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미비 방지 포인트 / 근거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일반금융소비자: 투자자정보 확인서(법인·개인사업자용) + 적합성(적정성) 판단보고서 + 위험도 분류 + (개인) 체크리스트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투자자정보 확인서 12개월 유효, 매년 재파악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고객 투자등급 확인 — A등급은 선물환 거래 불가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B·C등급만 거래 가능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전문금융소비자·기업투자자: 전문금융소비자 및 기업투자자 확인서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기업투자자는 전문투자자 전환신청서 + 협회 전문투자자 확인증(2년 단위 갱신)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주권상장법인이라도 전환신청서 미제출 시 일반금융소비자로 의제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풀 절차·풀 서류 적용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고령자(만 65세 이상): (초)고령투자자 금융투자상품 가입 추가 확인서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만 80세 이상은 조력자 지정·연락처 확보, 전담창구·사전확인(영업점장 등)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b/>
          <w:bCs/>
          <w:color w:val="C92A2F"/>
          <w:sz w:val="23"/>
          <w:szCs w:val="23"/>
        </w:rPr>
        <w:t xml:space="preserve">■ 4. 실수요 증빙 (연 1회, 한도방식 원칙, 영업점장 전결)</w:t>
      </w:r>
    </w:p>
    <w:tbl>
      <w:tblPr>
        <w:tblW w:type="dxa" w:w="10000"/>
        <w:tblBorders>
          <w:top w:val="single" w:color="DDE6E3" w:sz="4"/>
          <w:left w:val="single" w:color="DDE6E3" w:sz="4"/>
          <w:bottom w:val="single" w:color="DDE6E3" w:sz="4"/>
          <w:right w:val="single" w:color="DDE6E3" w:sz="4"/>
          <w:insideH w:val="single" w:color="DDE6E3" w:sz="4"/>
          <w:insideV w:val="single" w:color="DDE6E3" w:sz="4"/>
        </w:tblBorders>
      </w:tblPr>
      <w:tblGrid>
        <w:gridCol w:w="700"/>
        <w:gridCol w:w="5600"/>
        <w:gridCol w:w="3700"/>
      </w:tblGrid>
      <w:tr>
        <w:trPr>
          <w:tblHeader/>
        </w:trP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확인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체크 항목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미비 방지 포인트 / 근거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한국무역협회 수출입실적증명서 (수출/수입 각 1부) 또는 한국무역통계진흥원 증명서(예외 인정)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전년도 또는 최근 3년 평균 기준. 무역협회=수출대행자 기준, 진흥원=수출화주 기준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증명서 발행일자 ≤ 거래일자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거래 후 발급분 인정 불가. 1월은 전전년도 준용 가능, 2월부터 전년도만 전산 입력 가능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증명서 부적정 시: 장외파생상품 거래에 따른 헤지 수요 확인서 + 증빙(L/C·송금내역·구매확인서 등)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상장법인·중견·대기업은 영업점장 판단으로 확인서 생략, 증빙만 가능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건별한도방식(예외): 계약당사자 모두 날인된 수출입계약서·신용장 서류만 인정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Offer Sheet, PO, T/T 입금내역, 외화매출액, 감사보고서 수주내역 인정 불가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건별한도방식: 수출입실적 개별한도방식 기업고객 확인서 (타행 중복사용 확인)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거래 시마다 징구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[5116] 전송 후 헤지거래한도 관련 증빙서류 BPR 스캔 → 영업점장 결재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미처리건 자동 생성분 처리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b/>
          <w:bCs/>
          <w:color w:val="00A88E"/>
          <w:sz w:val="23"/>
          <w:szCs w:val="23"/>
        </w:rPr>
        <w:t xml:space="preserve">■ 5. 녹취 (최초 계약 시)</w:t>
      </w:r>
    </w:p>
    <w:tbl>
      <w:tblPr>
        <w:tblW w:type="dxa" w:w="10000"/>
        <w:tblBorders>
          <w:top w:val="single" w:color="DDE6E3" w:sz="4"/>
          <w:left w:val="single" w:color="DDE6E3" w:sz="4"/>
          <w:bottom w:val="single" w:color="DDE6E3" w:sz="4"/>
          <w:right w:val="single" w:color="DDE6E3" w:sz="4"/>
          <w:insideH w:val="single" w:color="DDE6E3" w:sz="4"/>
          <w:insideV w:val="single" w:color="DDE6E3" w:sz="4"/>
        </w:tblBorders>
      </w:tblPr>
      <w:tblGrid>
        <w:gridCol w:w="700"/>
        <w:gridCol w:w="5600"/>
        <w:gridCol w:w="3700"/>
      </w:tblGrid>
      <w:tr>
        <w:trPr>
          <w:tblHeader/>
        </w:trP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확인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체크 항목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미비 방지 포인트 / 근거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개인·개인사업자 일반금융소비자: 투자자정보 확인서 작성 + 기본계약서·담보계약서 체결 과정 녹취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법인은 통화옵션만 대상 → 선물환 계약 녹취 불요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고령투자자: 고령투자자 확인서 작성 과정 포함 판매 전 과정 녹취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생략 불가, 고객 요청 시 녹취파일 제공</w:t>
            </w:r>
          </w:p>
        </w:tc>
      </w:tr>
    </w:tbl>
    <w:p>
      <w:r>
        <w:br w:type="page"/>
      </w:r>
    </w:p>
    <w:p>
      <w:pPr>
        <w:shd w:fill="2B6CD4" w:val="clear"/>
        <w:spacing w:after="140" w:before="300"/>
      </w:pPr>
      <w:r>
        <w:rPr>
          <w:b/>
          <w:bCs/>
          <w:color w:val="FFFFFF"/>
          <w:sz w:val="28"/>
          <w:szCs w:val="28"/>
        </w:rPr>
        <w:t xml:space="preserve">  CASE 2 — 개별거래(선물환) 체결 시마다</w:t>
      </w:r>
    </w:p>
    <w:p>
      <w:pPr>
        <w:spacing w:after="100"/>
      </w:pPr>
      <w:r>
        <w:rPr>
          <w:color w:val="6B7F7A"/>
          <w:sz w:val="19"/>
          <w:szCs w:val="19"/>
        </w:rPr>
        <w:t xml:space="preserve">Nexpia: [5803] 서류·유효기일 확인 → [5162] 실적·한도잔액 → [7790] 전 금융기관 합산 → [5801] 환율신청(오버헤지 점검) → [5896] 승인조회 → [5811] 계약등록 · 커버페이지: 개별계좌 758-xx, 한도계좌 문서와 분리 배송</w:t>
      </w:r>
    </w:p>
    <w:p>
      <w:pPr>
        <w:spacing w:after="80" w:before="200"/>
      </w:pPr>
      <w:r>
        <w:rPr>
          <w:b/>
          <w:bCs/>
          <w:color w:val="C92A2F"/>
          <w:sz w:val="23"/>
          <w:szCs w:val="23"/>
        </w:rPr>
        <w:t xml:space="preserve">■ 1. 체결 전 3종 확인 (하나라도 미충족 시 거래 불가)</w:t>
      </w:r>
    </w:p>
    <w:tbl>
      <w:tblPr>
        <w:tblW w:type="dxa" w:w="10000"/>
        <w:tblBorders>
          <w:top w:val="single" w:color="DDE6E3" w:sz="4"/>
          <w:left w:val="single" w:color="DDE6E3" w:sz="4"/>
          <w:bottom w:val="single" w:color="DDE6E3" w:sz="4"/>
          <w:right w:val="single" w:color="DDE6E3" w:sz="4"/>
          <w:insideH w:val="single" w:color="DDE6E3" w:sz="4"/>
          <w:insideV w:val="single" w:color="DDE6E3" w:sz="4"/>
        </w:tblBorders>
      </w:tblPr>
      <w:tblGrid>
        <w:gridCol w:w="700"/>
        <w:gridCol w:w="5600"/>
        <w:gridCol w:w="3700"/>
      </w:tblGrid>
      <w:tr>
        <w:trPr>
          <w:tblHeader/>
        </w:trP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확인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체크 항목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미비 방지 포인트 / 근거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실수요·오버헤지 점검: 위험헤지비율 = 당·타행 신규거래 합산 / 전년도 수출입실적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일반금융소비자 100%, 기업투자자 125% 초과 시 절대 거래 불가. [5801] 잔여 음수(-)면 불가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[7790] 전 금융기관 FX 신규 합산금액 조회 (은행연합회)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수입업체(선물환매입)=수입실적, 수출업체(선물환매도)=수출실적과 각각 대비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신용한도 여유금액 ≥ 본건 보증금 소진액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[5162] 총한도잔액 vs [5811] 5-보증금선조회. 부족 시 한도 증액(720) 또는 보증금 추가적립(721) 후 거래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거래 요청자가 거래담당자 신고서상 지정 담당자인지 대조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미신고자와 체결 금지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기존 징구서류 유효기간 확인 (투자자정보·동의서 12개월 등)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변동사항 발생 시 해당 단계 재이행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보증금 적립업체(721): 붙임2 적립률 적용 확인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외국통화 1개월 4% ~ 1년 12%, 3년 초과 연 5% 가산. 일할 보간법, 최저 3%. USD 기준 일별 자동산출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b/>
          <w:bCs/>
          <w:color w:val="2B6CD4"/>
          <w:sz w:val="23"/>
          <w:szCs w:val="23"/>
        </w:rPr>
        <w:t xml:space="preserve">■ 2. 징구·교부 서류 (매 건)</w:t>
      </w:r>
    </w:p>
    <w:tbl>
      <w:tblPr>
        <w:tblW w:type="dxa" w:w="10000"/>
        <w:tblBorders>
          <w:top w:val="single" w:color="DDE6E3" w:sz="4"/>
          <w:left w:val="single" w:color="DDE6E3" w:sz="4"/>
          <w:bottom w:val="single" w:color="DDE6E3" w:sz="4"/>
          <w:right w:val="single" w:color="DDE6E3" w:sz="4"/>
          <w:insideH w:val="single" w:color="DDE6E3" w:sz="4"/>
          <w:insideV w:val="single" w:color="DDE6E3" w:sz="4"/>
        </w:tblBorders>
      </w:tblPr>
      <w:tblGrid>
        <w:gridCol w:w="700"/>
        <w:gridCol w:w="5600"/>
        <w:gridCol w:w="3700"/>
      </w:tblGrid>
      <w:tr>
        <w:trPr>
          <w:tblHeader/>
        </w:trP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확인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체크 항목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미비 방지 포인트 / 근거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외환거래확인서 — 영업점장 결재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작성: 당행(투자권유자문인력)/고객(신고된 거래담당자). 날인: 당행(부점장 직인)/고객(명판·인감)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외환거래확인서 5영업일 이내 서명·날인 회수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원본 당행 보관, 사본 고객 교부. SWIFT 전문 등 상호확인 시 생략 가능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확인서 기재사항: 기본계약서 체결일자 / 영업일·영업일규칙(서울·Following) / 결제계좌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누락 빈발 항목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장외파생상품 상품설명서(선물환) — 권유·설명 전 교부, 설명 후 고객·직원 확인 서명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최초 계약 시 무조건 교부. 수령생략(Y) 등록 고객은 이후 생략 가능하나 요청 시 즉시 제공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[7790] 파생상품 합계조회 인쇄 서류 보관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오버헤지 점검 증빙자료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담보계약서 — 건별(721) 한도계좌 생성 시마다 징구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보증금·담보 취득 건 반복 거래 시 누락 주의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b/>
          <w:bCs/>
          <w:color w:val="00A88E"/>
          <w:sz w:val="23"/>
          <w:szCs w:val="23"/>
        </w:rPr>
        <w:t xml:space="preserve">■ 3. 녹취 (개인·개인사업자 일반금융소비자)</w:t>
      </w:r>
    </w:p>
    <w:tbl>
      <w:tblPr>
        <w:tblW w:type="dxa" w:w="10000"/>
        <w:tblBorders>
          <w:top w:val="single" w:color="DDE6E3" w:sz="4"/>
          <w:left w:val="single" w:color="DDE6E3" w:sz="4"/>
          <w:bottom w:val="single" w:color="DDE6E3" w:sz="4"/>
          <w:right w:val="single" w:color="DDE6E3" w:sz="4"/>
          <w:insideH w:val="single" w:color="DDE6E3" w:sz="4"/>
          <w:insideV w:val="single" w:color="DDE6E3" w:sz="4"/>
        </w:tblBorders>
      </w:tblPr>
      <w:tblGrid>
        <w:gridCol w:w="700"/>
        <w:gridCol w:w="5600"/>
        <w:gridCol w:w="3700"/>
      </w:tblGrid>
      <w:tr>
        <w:trPr>
          <w:tblHeader/>
        </w:trP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확인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체크 항목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미비 방지 포인트 / 근거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매 개별거래 전 가입상품 설명 녹취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1년 내 동일상품(상품설명서 동일 기준) 거래이력 + 녹취파일 존재 시 생략 가능. 하루 여러 건 동일상품은 1회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고령투자자는 설명 녹취 생략 불가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전 과정 녹취 유지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개별거래 체결 녹취 (본부 녹취)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본부 담당 녹취 관리대장 작성, 매월 품질 점검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b/>
          <w:bCs/>
          <w:color w:val="C77B06"/>
          <w:sz w:val="23"/>
          <w:szCs w:val="23"/>
        </w:rPr>
        <w:t xml:space="preserve">■ 4. 기타 유의</w:t>
      </w:r>
    </w:p>
    <w:tbl>
      <w:tblPr>
        <w:tblW w:type="dxa" w:w="10000"/>
        <w:tblBorders>
          <w:top w:val="single" w:color="DDE6E3" w:sz="4"/>
          <w:left w:val="single" w:color="DDE6E3" w:sz="4"/>
          <w:bottom w:val="single" w:color="DDE6E3" w:sz="4"/>
          <w:right w:val="single" w:color="DDE6E3" w:sz="4"/>
          <w:insideH w:val="single" w:color="DDE6E3" w:sz="4"/>
          <w:insideV w:val="single" w:color="DDE6E3" w:sz="4"/>
        </w:tblBorders>
      </w:tblPr>
      <w:tblGrid>
        <w:gridCol w:w="700"/>
        <w:gridCol w:w="5600"/>
        <w:gridCol w:w="3700"/>
      </w:tblGrid>
      <w:tr>
        <w:trPr>
          <w:tblHeader/>
        </w:trP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확인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체크 항목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미비 방지 포인트 / 근거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거래 성립 후 취소·변경 원칙 불가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오조작 취소 시 발생 손실은 고객으로부터 보전. [5801] 환율 승인·체결 후 취소 불가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만기연장 원칙 불가 → 기존 정산 후 신규 처리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예외적 만기연장은 CASE 3 절차 준수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개별거래 문서: 커버페이지 758-xx, 한도계좌 문서와 분리 배송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계좌번호 체계 혼동 주의 (720·721=한도 / 758=개별)</w:t>
            </w:r>
          </w:p>
        </w:tc>
      </w:tr>
    </w:tbl>
    <w:p>
      <w:r>
        <w:br w:type="page"/>
      </w:r>
    </w:p>
    <w:p>
      <w:pPr>
        <w:shd w:fill="C77B06" w:val="clear"/>
        <w:spacing w:after="140" w:before="300"/>
      </w:pPr>
      <w:r>
        <w:rPr>
          <w:b/>
          <w:bCs/>
          <w:color w:val="FFFFFF"/>
          <w:sz w:val="28"/>
          <w:szCs w:val="28"/>
        </w:rPr>
        <w:t xml:space="preserve">  CASE 3 — 만기·결제·연장 및 사후관리</w:t>
      </w:r>
    </w:p>
    <w:p>
      <w:pPr>
        <w:spacing w:after="100"/>
      </w:pPr>
      <w:r>
        <w:rPr>
          <w:color w:val="6B7F7A"/>
          <w:sz w:val="19"/>
          <w:szCs w:val="19"/>
        </w:rPr>
        <w:t xml:space="preserve">Nexpia: [5080] 기일관리 → [5834] 결제 (원화차액정산 시 [7094] 개별환율 선행) · 한도연장은 [5803]·[5116] 조건변경</w:t>
      </w:r>
    </w:p>
    <w:p>
      <w:pPr>
        <w:spacing w:after="80" w:before="200"/>
      </w:pPr>
      <w:r>
        <w:rPr>
          <w:b/>
          <w:bCs/>
          <w:color w:val="C77B06"/>
          <w:sz w:val="23"/>
          <w:szCs w:val="23"/>
        </w:rPr>
        <w:t xml:space="preserve">■ 1. 결제 (만기 처리)</w:t>
      </w:r>
    </w:p>
    <w:tbl>
      <w:tblPr>
        <w:tblW w:type="dxa" w:w="10000"/>
        <w:tblBorders>
          <w:top w:val="single" w:color="DDE6E3" w:sz="4"/>
          <w:left w:val="single" w:color="DDE6E3" w:sz="4"/>
          <w:bottom w:val="single" w:color="DDE6E3" w:sz="4"/>
          <w:right w:val="single" w:color="DDE6E3" w:sz="4"/>
          <w:insideH w:val="single" w:color="DDE6E3" w:sz="4"/>
          <w:insideV w:val="single" w:color="DDE6E3" w:sz="4"/>
        </w:tblBorders>
      </w:tblPr>
      <w:tblGrid>
        <w:gridCol w:w="700"/>
        <w:gridCol w:w="5600"/>
        <w:gridCol w:w="3700"/>
      </w:tblGrid>
      <w:tr>
        <w:trPr>
          <w:tblHeader/>
        </w:trP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확인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체크 항목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미비 방지 포인트 / 근거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만기내역 사전 고객 통지 후 결제방법 확정 (외화결제 / 원화차액정산 / 만기연장)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[5080]에서 만기내역 확인·통지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원화차액정산 시 [7094] 개별환율 신청 필수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자금운용부 사전협의(08100-기타). 매입=전신환매입율(수입), 매도=전신환매도율(수출) 방향 주의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721 건별계좌: 결제 시 기적립 보증금 반환 처리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720 전체한도계좌는 해당 없음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결제일 지급 불이행 시: 역환 → 원화미수금 처리, 여신 준용 연체채권 분류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지연배상금 최고 연 15%, 전결권자 승인 시 감면 가능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b/>
          <w:bCs/>
          <w:color w:val="2B6CD4"/>
          <w:sz w:val="23"/>
          <w:szCs w:val="23"/>
        </w:rPr>
        <w:t xml:space="preserve">■ 2. 만기연장·재헤지 (예외적 운용)</w:t>
      </w:r>
    </w:p>
    <w:tbl>
      <w:tblPr>
        <w:tblW w:type="dxa" w:w="10000"/>
        <w:tblBorders>
          <w:top w:val="single" w:color="DDE6E3" w:sz="4"/>
          <w:left w:val="single" w:color="DDE6E3" w:sz="4"/>
          <w:bottom w:val="single" w:color="DDE6E3" w:sz="4"/>
          <w:right w:val="single" w:color="DDE6E3" w:sz="4"/>
          <w:insideH w:val="single" w:color="DDE6E3" w:sz="4"/>
          <w:insideV w:val="single" w:color="DDE6E3" w:sz="4"/>
        </w:tblBorders>
      </w:tblPr>
      <w:tblGrid>
        <w:gridCol w:w="700"/>
        <w:gridCol w:w="5600"/>
        <w:gridCol w:w="3700"/>
      </w:tblGrid>
      <w:tr>
        <w:trPr>
          <w:tblHeader/>
        </w:trP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확인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체크 항목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미비 방지 포인트 / 근거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외환파생상품거래(만기연장·재헤지) 확인서 + 증빙서류 징구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이 서류가 있어야 위험회피비율 산식에서 제외되어 실수요한도 미차감. 타행 건 연장·재헤지도 동일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[5801] 신규구분 2-만기연장 입력 (동일금액·동일방향 限)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기존 건 원화차액정산 후 신규(만기연장) 등록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b/>
          <w:bCs/>
          <w:color w:val="00A88E"/>
          <w:sz w:val="23"/>
          <w:szCs w:val="23"/>
        </w:rPr>
        <w:t xml:space="preserve">■ 3. 한도 만기연장 (연 1회 갱신)</w:t>
      </w:r>
    </w:p>
    <w:tbl>
      <w:tblPr>
        <w:tblW w:type="dxa" w:w="10000"/>
        <w:tblBorders>
          <w:top w:val="single" w:color="DDE6E3" w:sz="4"/>
          <w:left w:val="single" w:color="DDE6E3" w:sz="4"/>
          <w:bottom w:val="single" w:color="DDE6E3" w:sz="4"/>
          <w:right w:val="single" w:color="DDE6E3" w:sz="4"/>
          <w:insideH w:val="single" w:color="DDE6E3" w:sz="4"/>
          <w:insideV w:val="single" w:color="DDE6E3" w:sz="4"/>
        </w:tblBorders>
      </w:tblPr>
      <w:tblGrid>
        <w:gridCol w:w="700"/>
        <w:gridCol w:w="5600"/>
        <w:gridCol w:w="3700"/>
      </w:tblGrid>
      <w:tr>
        <w:trPr>
          <w:tblHeader/>
        </w:trP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확인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체크 항목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미비 방지 포인트 / 근거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투자자정보 확인서 / 적합성 판단보고서 / 위험도 분류 / 금융거래정보 동의서 재징구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유효기간 12개월 도래 전 갱신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전년도 수출입실적증명서 등 증빙 재징구 (Nexpia 5116 수정)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연초 기징구 시 생략 가능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신용한도 증액 시 변경약정서 / 감액 시 감액통지서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보증금 면제한도 변경 시 징구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업체 담당자 변경 시 거래담당자·거래인감 신고서 재징구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구 담당자와의 체결 방지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만기 3개월 전 연장서류 안내 시작 / 연장 1년 이내, 당초 포함 최장 5년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한도만기 경과 후 신규거래 금지, 잔존거래 채권보전 유의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b/>
          <w:bCs/>
          <w:color w:val="C92A2F"/>
          <w:sz w:val="23"/>
          <w:szCs w:val="23"/>
        </w:rPr>
        <w:t xml:space="preserve">■ 4. 월 사후관리 (매월 필수)</w:t>
      </w:r>
    </w:p>
    <w:tbl>
      <w:tblPr>
        <w:tblW w:type="dxa" w:w="10000"/>
        <w:tblBorders>
          <w:top w:val="single" w:color="DDE6E3" w:sz="4"/>
          <w:left w:val="single" w:color="DDE6E3" w:sz="4"/>
          <w:bottom w:val="single" w:color="DDE6E3" w:sz="4"/>
          <w:right w:val="single" w:color="DDE6E3" w:sz="4"/>
          <w:insideH w:val="single" w:color="DDE6E3" w:sz="4"/>
          <w:insideV w:val="single" w:color="DDE6E3" w:sz="4"/>
        </w:tblBorders>
      </w:tblPr>
      <w:tblGrid>
        <w:gridCol w:w="700"/>
        <w:gridCol w:w="5600"/>
        <w:gridCol w:w="3700"/>
      </w:tblGrid>
      <w:tr>
        <w:trPr>
          <w:tblHeader/>
        </w:trP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확인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체크 항목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미비 방지 포인트 / 근거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[월초·BPR] 파생상품 거래평가서 고객 통지 — 기준일 매월 말영업일, 익월 20일까지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통지 후 회신 날인 내역 BPR 스캔, 20일까지 통지여부 재확인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[월초·TCRMS] 자산건전성 관리 — 보증/담보/신용 구분 등록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담보(정기예금 등)는 원화 기준 수기입력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평가손실률 80% 초과: 거래현황 통지서 고객 통보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익영업일 BPR 일일평가통보서 스텝 자동 생성분 처리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평가손실률 100% 초과: 보증금 추가적립(Nexpia 5101)·담보보강 즉시 서면 요청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면제: 정부·지자체·공공기관·특수공공법인·지방공기업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펀드 환헤지 건: 대상펀드 기준가 취급일 대비 35% 이하 하락 시 거래종료 등 조치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귀책거래종료사유 통보·청산 검토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사후관리 내역 CRM시스템 등록·관리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지침·여신규정 의거</w:t>
            </w:r>
          </w:p>
        </w:tc>
      </w:tr>
    </w:tbl>
    <w:p>
      <w:pPr>
        <w:spacing w:after="60"/>
      </w:pPr>
    </w:p>
    <w:p>
      <w:pPr>
        <w:spacing w:after="80" w:before="200"/>
      </w:pPr>
      <w:r>
        <w:rPr>
          <w:b/>
          <w:bCs/>
          <w:color w:val="1F3D36"/>
          <w:sz w:val="23"/>
          <w:szCs w:val="23"/>
        </w:rPr>
        <w:t xml:space="preserve">■ 5. 문서 보존·기타 (공통)</w:t>
      </w:r>
    </w:p>
    <w:tbl>
      <w:tblPr>
        <w:tblW w:type="dxa" w:w="10000"/>
        <w:tblBorders>
          <w:top w:val="single" w:color="DDE6E3" w:sz="4"/>
          <w:left w:val="single" w:color="DDE6E3" w:sz="4"/>
          <w:bottom w:val="single" w:color="DDE6E3" w:sz="4"/>
          <w:right w:val="single" w:color="DDE6E3" w:sz="4"/>
          <w:insideH w:val="single" w:color="DDE6E3" w:sz="4"/>
          <w:insideV w:val="single" w:color="DDE6E3" w:sz="4"/>
        </w:tblBorders>
      </w:tblPr>
      <w:tblGrid>
        <w:gridCol w:w="700"/>
        <w:gridCol w:w="5600"/>
        <w:gridCol w:w="3700"/>
      </w:tblGrid>
      <w:tr>
        <w:trPr>
          <w:tblHeader/>
        </w:trP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확인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체크 항목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EAF3F0" w:val="clear"/>
          </w:tcPr>
          <w:p>
            <w:pPr>
              <w:jc w:val="center"/>
            </w:pPr>
            <w:r>
              <w:rPr>
                <w:b/>
                <w:bCs/>
                <w:color w:val="1F3D36"/>
                <w:sz w:val="19"/>
                <w:szCs w:val="19"/>
              </w:rPr>
              <w:t xml:space="preserve">미비 방지 포인트 / 근거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파생상품 서류 BPR 처리 → 문서보관소 집중보관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분실 방지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보존기간: 기본계약서·신용보강약정 영구 / 그 외 10년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문서관리지침 준용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b/>
                <w:bCs/>
                <w:color w:val="C92A2F"/>
                <w:sz w:val="20"/>
                <w:szCs w:val="20"/>
              </w:rPr>
              <w:t xml:space="preserve">은행조회서 발급 시 보증금 면제한도 내용(한도금액·만기일) 기재 금지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  <w:shd w:fill="FEECEC" w:val="clear"/>
          </w:tcPr>
          <w:p>
            <w:r>
              <w:rPr>
                <w:color w:val="C92A2F"/>
                <w:sz w:val="18"/>
                <w:szCs w:val="18"/>
              </w:rPr>
              <w:t xml:space="preserve">미결제 계약 내역만 작성</w:t>
            </w:r>
          </w:p>
        </w:tc>
      </w:tr>
      <w:tr>
        <w:tc>
          <w:tcPr>
            <w:tcW w:type="dxa" w:w="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6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계약불이행·신용사건 발생 시: 추가 거래 중지 → 주무부서 유선 통지 → 기한전 거래종료일 문서 요청</w:t>
            </w:r>
          </w:p>
        </w:tc>
        <w:tc>
          <w:tcPr>
            <w:tcW w:type="dxa" w:w="3700"/>
            <w:tcBorders>
              <w:top w:val="single" w:color="DDE6E3" w:sz="4"/>
              <w:left w:val="single" w:color="DDE6E3" w:sz="4"/>
              <w:bottom w:val="single" w:color="DDE6E3" w:sz="4"/>
              <w:right w:val="single" w:color="DDE6E3" w:sz="4"/>
            </w:tcBorders>
          </w:tcPr>
          <w:p>
            <w:r>
              <w:rPr>
                <w:color w:val="555555"/>
                <w:sz w:val="18"/>
                <w:szCs w:val="18"/>
              </w:rPr>
              <w:t xml:space="preserve">종료일: 통지일로부터 20일 이내 특정 영업일</w:t>
            </w:r>
          </w:p>
        </w:tc>
      </w:tr>
    </w:tbl>
    <w:p>
      <w:pPr>
        <w:spacing w:before="300"/>
      </w:pPr>
      <w:r>
        <w:rPr>
          <w:i/>
          <w:iCs/>
          <w:color w:val="6B7F7A"/>
          <w:sz w:val="18"/>
          <w:szCs w:val="18"/>
        </w:rPr>
        <w:t xml:space="preserve">※ 본 체크리스트는 요약본으로, 세부 기준은 원문 지침·매뉴얼이 우선합니다. 의문 발생 시 반드시 자금운용부(주무부서)에 문의 후 업무를 수행합니다.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2026-08-04T04:22:26.139Z</dcterms:created>
  <dcterms:modified xsi:type="dcterms:W3CDTF">2026-08-04T04:22:26.141Z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