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금융거래-약관의-작성운용-지침"/>
      <w:r>
        <w:rPr/>
        <w:t>금융거래 약관의 작성</w:t>
      </w:r>
      <w:r>
        <w:rPr/>
        <w:t>·</w:t>
      </w:r>
      <w:r>
        <w:rPr/>
        <w:t>운용 지침</w:t>
      </w:r>
    </w:p>
    <w:p>
      <w:pPr>
        <w:pStyle w:val="FirstParagraph"/>
        <w:rPr/>
      </w:pPr>
      <w:r>
        <w:rPr/>
        <w:t xml:space="preserve">제정 </w:t>
      </w:r>
      <w:r>
        <w:rPr/>
        <w:t>2010.11.18.</w:t>
      </w:r>
    </w:p>
    <w:p>
      <w:pPr>
        <w:pStyle w:val="BodyText"/>
        <w:rPr/>
      </w:pPr>
      <w:r>
        <w:rPr/>
        <w:t xml:space="preserve">개정 </w:t>
      </w:r>
      <w:r>
        <w:rPr/>
        <w:t>2013.01.10.</w:t>
      </w:r>
    </w:p>
    <w:p>
      <w:pPr>
        <w:pStyle w:val="BodyText"/>
        <w:rPr/>
      </w:pPr>
      <w:r>
        <w:rPr/>
        <w:t xml:space="preserve">개정 </w:t>
      </w:r>
      <w:r>
        <w:rPr/>
        <w:t>2023.04.21.</w:t>
      </w:r>
    </w:p>
    <w:p>
      <w:pPr>
        <w:pStyle w:val="Heading2"/>
        <w:rPr/>
      </w:pPr>
      <w:bookmarkStart w:id="1" w:name="제1장-총-칙"/>
      <w:r>
        <w:rPr/>
        <w:t>제</w:t>
      </w:r>
      <w:r>
        <w:rPr/>
        <w:t>1</w:t>
      </w:r>
      <w:r>
        <w:rPr/>
        <w:t>장 총 칙</w:t>
      </w:r>
    </w:p>
    <w:p>
      <w:pPr>
        <w:pStyle w:val="Compact"/>
        <w:numPr>
          <w:ilvl w:val="0"/>
          <w:numId w:val="23"/>
        </w:numPr>
        <w:rPr/>
      </w:pPr>
      <w:r>
        <w:rPr/>
        <w:t>목적</w:t>
      </w:r>
    </w:p>
    <w:p>
      <w:pPr>
        <w:pStyle w:val="FirstParagraph"/>
        <w:rPr/>
      </w:pPr>
      <w:r>
        <w:rPr/>
        <w:t>이 지침은 은행법 및 동 시행령</w:t>
      </w:r>
      <w:r>
        <w:rPr/>
        <w:t xml:space="preserve">, </w:t>
      </w:r>
      <w:r>
        <w:rPr/>
        <w:t>은행업감독규정 및 동 시행세칙</w:t>
      </w:r>
      <w:r>
        <w:rPr/>
        <w:t xml:space="preserve">, </w:t>
      </w:r>
      <w:r>
        <w:rPr/>
        <w:t>전자금융거래법 등 관련 법규와 준법감시인직무규정에서 정하는 금융거래 약관의 제정</w:t>
      </w:r>
      <w:r>
        <w:rPr/>
        <w:t>·</w:t>
      </w:r>
      <w:r>
        <w:rPr/>
        <w:t>변경 및 심의 절차</w:t>
      </w:r>
      <w:r>
        <w:rPr/>
        <w:t xml:space="preserve">, </w:t>
      </w:r>
      <w:r>
        <w:rPr/>
        <w:t>관리방법</w:t>
      </w:r>
      <w:r>
        <w:rPr/>
        <w:t xml:space="preserve">, </w:t>
      </w:r>
      <w:r>
        <w:rPr/>
        <w:t>공시 및 임직원 교육 등에 관한 업무처리 기준과 절차를 정함을 목적으로 한다</w:t>
      </w:r>
      <w:r>
        <w:rPr/>
        <w:t>. &lt;</w:t>
      </w:r>
      <w:r>
        <w:rPr/>
        <w:t xml:space="preserve">개정 </w:t>
      </w:r>
      <w:r>
        <w:rPr/>
        <w:t>2023.04.21&gt;</w:t>
      </w:r>
    </w:p>
    <w:p>
      <w:pPr>
        <w:pStyle w:val="Compact"/>
        <w:numPr>
          <w:ilvl w:val="0"/>
          <w:numId w:val="24"/>
        </w:numPr>
        <w:rPr/>
      </w:pPr>
      <w:r>
        <w:rPr/>
        <w:t>적용대상</w:t>
      </w:r>
    </w:p>
    <w:p>
      <w:pPr>
        <w:pStyle w:val="FirstParagraph"/>
        <w:rPr/>
      </w:pPr>
      <w:r>
        <w:rPr/>
        <w:t>이 지침에서 금융거래약관</w:t>
      </w:r>
      <w:r>
        <w:rPr/>
        <w:t>(</w:t>
      </w:r>
      <w:r>
        <w:rPr/>
        <w:t>이하「약관」이라 한다</w:t>
      </w:r>
      <w:r>
        <w:rPr/>
        <w:t>)</w:t>
      </w:r>
      <w:r>
        <w:rPr/>
        <w:t>이라 함은 그 명칭이나 형태를 불문하고 은행이 금융거래와 관련하여 다수의 이용자와 계약을 위하여 미리 작성한 계약의 내용을 말한다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겸영업무에 관련된 약관으로서 관계법령에 의하여 별도로 정하고 있는 경우에는 이 지침의 규정을 적용하지 아니한다</w:t>
      </w:r>
      <w:r>
        <w:rPr/>
        <w:t>.</w:t>
      </w:r>
    </w:p>
    <w:p>
      <w:pPr>
        <w:pStyle w:val="Compact"/>
        <w:numPr>
          <w:ilvl w:val="0"/>
          <w:numId w:val="25"/>
        </w:numPr>
        <w:rPr/>
      </w:pPr>
      <w:r>
        <w:rPr/>
        <w:t>작성 및 운용 기준</w:t>
      </w:r>
    </w:p>
    <w:p>
      <w:pPr>
        <w:pStyle w:val="FirstParagraph"/>
        <w:rPr/>
      </w:pPr>
      <w:r>
        <w:rPr/>
        <w:t>약관은 다음 각호에서 정한 기준에 따라 작성</w:t>
      </w:r>
      <w:r>
        <w:rPr/>
        <w:t>·</w:t>
      </w:r>
      <w:r>
        <w:rPr/>
        <w:t>운용하여야 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신의성실의 원칙에 따라 공정하게 작성하여야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은행 이용자의 권익을 최대한 보호하여야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건전한 금융거래질서가 유지될 수 있도록 하여야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「약관의 규제에 관한 법률」 등 관계법령에 위배되지 아니하여야 한다</w:t>
      </w:r>
      <w:r>
        <w:rPr/>
        <w:t>.</w:t>
      </w:r>
    </w:p>
    <w:p>
      <w:pPr>
        <w:pStyle w:val="Compact"/>
        <w:numPr>
          <w:ilvl w:val="0"/>
          <w:numId w:val="26"/>
        </w:numPr>
        <w:rPr/>
      </w:pPr>
      <w:r>
        <w:rPr/>
        <w:t>해석 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약관에서 정하고 있는 사항에 관하여 은행과 이용자간에 약관의 내용과 다르게 합의한 사항이 있을 때에는 해당 합의사항을 약관에 우선하여 적용하여야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약관은 신의성실의 원칙에 따라 공정하게 해석하고 이용자에 따라 다르게 해석하여서는 아니된다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약관의 뜻이 명백하지 아니한 경우에는 이용자에게 유리하게 해석하여야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약관내용은 가능한 한 쉬운 표현을 사용하고 이용자의 권리의무에 중대한 영향을 미치는 내용은 큰 글자나 두드러지게 표시하여 이용자가 인지할 수 있도록 하여야 한다</w:t>
      </w:r>
      <w:r>
        <w:rPr/>
        <w:t>.</w:t>
      </w:r>
    </w:p>
    <w:p>
      <w:pPr>
        <w:pStyle w:val="BodyText"/>
        <w:rPr/>
      </w:pPr>
      <w:r>
        <w:rPr/>
        <w:t>&lt;</w:t>
      </w:r>
      <w:r>
        <w:rPr/>
        <w:t xml:space="preserve">개정 </w:t>
      </w:r>
      <w:r>
        <w:rPr/>
        <w:t>2023.04.21&gt;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계약체결시 약관내용을 이용자가 충분히 이해할 수 있도록 설명하여야 하며</w:t>
      </w:r>
      <w:r>
        <w:rPr/>
        <w:t xml:space="preserve">, </w:t>
      </w:r>
      <w:r>
        <w:rPr/>
        <w:t>이용자가 은행과 대등한 입장에서 계약을 체결하도록 하여야 한다</w:t>
      </w:r>
      <w:r>
        <w:rPr/>
        <w:t>.</w:t>
      </w:r>
      <w:bookmarkEnd w:id="1"/>
    </w:p>
    <w:p>
      <w:pPr>
        <w:pStyle w:val="Heading2"/>
        <w:rPr/>
      </w:pPr>
      <w:bookmarkStart w:id="2" w:name="제2장-약관의-작성"/>
      <w:r>
        <w:rPr/>
        <w:t>제</w:t>
      </w:r>
      <w:r>
        <w:rPr/>
        <w:t>2</w:t>
      </w:r>
      <w:r>
        <w:rPr/>
        <w:t>장 약관의 작성</w:t>
      </w:r>
    </w:p>
    <w:p>
      <w:pPr>
        <w:pStyle w:val="Compact"/>
        <w:numPr>
          <w:ilvl w:val="0"/>
          <w:numId w:val="27"/>
        </w:numPr>
        <w:rPr/>
      </w:pPr>
      <w:r>
        <w:rPr/>
        <w:t>기본 체계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약관은 은행거래 업무의 유형별로 「기본약관」을 두고 이를 기초로 한 「개별거래약관」으로 운용한다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「기본약관」은 수신</w:t>
      </w:r>
      <w:r>
        <w:rPr/>
        <w:t>·</w:t>
      </w:r>
      <w:r>
        <w:rPr/>
        <w:t>여신</w:t>
      </w:r>
      <w:r>
        <w:rPr/>
        <w:t>·</w:t>
      </w:r>
      <w:r>
        <w:rPr/>
        <w:t>외국환</w:t>
      </w:r>
      <w:r>
        <w:rPr/>
        <w:t>·</w:t>
      </w:r>
      <w:r>
        <w:rPr/>
        <w:t>전자금융</w:t>
      </w:r>
      <w:r>
        <w:rPr/>
        <w:t>·</w:t>
      </w:r>
      <w:r>
        <w:rPr/>
        <w:t>신탁 등 은행거래 업무의 유형별로 기본적인 사항을 명시한다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「개별거래약관」은「기본약관」에서 정하지 않은 개별거래의 구체적인 사항을 명시한다</w:t>
      </w:r>
      <w:r>
        <w:rPr/>
        <w:t>.</w:t>
      </w:r>
    </w:p>
    <w:p>
      <w:pPr>
        <w:pStyle w:val="Compact"/>
        <w:numPr>
          <w:ilvl w:val="0"/>
          <w:numId w:val="28"/>
        </w:numPr>
        <w:rPr/>
      </w:pPr>
      <w:r>
        <w:rPr/>
        <w:t>작성 원칙</w:t>
      </w:r>
    </w:p>
    <w:p>
      <w:pPr>
        <w:pStyle w:val="FirstParagraph"/>
        <w:rPr/>
      </w:pPr>
      <w:r>
        <w:rPr/>
        <w:t>약관을 제정하거나 변경할 때에는 다음 사항을 고려하여 작성한다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약관의 대상이 되는 계약내용을 명확히 기재한다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약관의 내용은 쉽고 명확하고 일관된 용어를 사용하여 표현한다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각 조문은 거래당사자를 중심으로 기술하여 거래당사자간의 권리와 의무를 다음 각 호의 예와 같이 명확히 설명한다</w:t>
      </w:r>
      <w:r>
        <w:rPr/>
        <w:t>.</w:t>
      </w:r>
    </w:p>
    <w:p>
      <w:pPr>
        <w:pStyle w:val="Normal"/>
        <w:numPr>
          <w:ilvl w:val="0"/>
          <w:numId w:val="29"/>
        </w:numPr>
        <w:rPr/>
      </w:pPr>
      <w:r>
        <w:rPr/>
        <w:t>“</w:t>
      </w:r>
      <w:r>
        <w:rPr/>
        <w:t xml:space="preserve">은행은 </w:t>
      </w:r>
      <w:r>
        <w:rPr/>
        <w:t>--------</w:t>
      </w:r>
      <w:r>
        <w:rPr/>
        <w:t xml:space="preserve">고객에게 </w:t>
      </w:r>
      <w:r>
        <w:rPr/>
        <w:t xml:space="preserve">---- </w:t>
      </w:r>
      <w:r>
        <w:rPr/>
        <w:t>이자를 지급</w:t>
      </w:r>
      <w:r>
        <w:rPr/>
        <w:t>(</w:t>
      </w:r>
      <w:r>
        <w:rPr/>
        <w:t>하기로</w:t>
      </w:r>
      <w:r>
        <w:rPr/>
        <w:t xml:space="preserve">) </w:t>
      </w:r>
      <w:r>
        <w:rPr/>
        <w:t>한다”</w:t>
      </w:r>
    </w:p>
    <w:p>
      <w:pPr>
        <w:pStyle w:val="Normal"/>
        <w:numPr>
          <w:ilvl w:val="0"/>
          <w:numId w:val="7"/>
        </w:numPr>
        <w:rPr/>
      </w:pPr>
      <w:r>
        <w:rPr/>
        <w:t>“</w:t>
      </w:r>
      <w:r>
        <w:rPr/>
        <w:t xml:space="preserve">고객은 </w:t>
      </w:r>
      <w:r>
        <w:rPr/>
        <w:t xml:space="preserve">--- </w:t>
      </w:r>
      <w:r>
        <w:rPr/>
        <w:t xml:space="preserve">까지 </w:t>
      </w:r>
      <w:r>
        <w:rPr/>
        <w:t xml:space="preserve">----- </w:t>
      </w:r>
      <w:r>
        <w:rPr/>
        <w:t>이자를 은행에 납부</w:t>
      </w:r>
      <w:r>
        <w:rPr/>
        <w:t>(</w:t>
      </w:r>
      <w:r>
        <w:rPr/>
        <w:t>하기로</w:t>
      </w:r>
      <w:r>
        <w:rPr/>
        <w:t xml:space="preserve">) </w:t>
      </w:r>
      <w:r>
        <w:rPr/>
        <w:t>한다”</w:t>
      </w:r>
    </w:p>
    <w:p>
      <w:pPr>
        <w:pStyle w:val="FirstParagraph"/>
        <w:rPr/>
      </w:pPr>
      <w:r>
        <w:rPr/>
        <w:t>라</w:t>
      </w:r>
      <w:r>
        <w:rPr/>
        <w:t xml:space="preserve">. </w:t>
      </w:r>
      <w:r>
        <w:rPr/>
        <w:t>거래의 조건은 명확하고 자세하게 설명한다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은행에 거래조건의 변경권한 또는 옵션을 부여하는 경우에는 다음 각 호의 사항을 기재한다</w:t>
      </w:r>
      <w:r>
        <w:rPr/>
        <w:t>.</w:t>
      </w:r>
    </w:p>
    <w:p>
      <w:pPr>
        <w:pStyle w:val="Normal"/>
        <w:numPr>
          <w:ilvl w:val="0"/>
          <w:numId w:val="30"/>
        </w:numPr>
        <w:rPr/>
      </w:pPr>
      <w:r>
        <w:rPr/>
        <w:t>변경권한의 행사 가능성을 사전에 예측할 수 있도록 변경사유나 그 권한 행사가 가능한 사유 등을 설명한다</w:t>
      </w:r>
      <w:r>
        <w:rPr/>
        <w:t>.</w:t>
      </w:r>
    </w:p>
    <w:p>
      <w:pPr>
        <w:pStyle w:val="Normal"/>
        <w:numPr>
          <w:ilvl w:val="0"/>
          <w:numId w:val="31"/>
        </w:numPr>
        <w:rPr/>
      </w:pPr>
      <w:r>
        <w:rPr/>
        <w:t>고객이 동 권리의 행사에 대처할 수 있도록 합리적인 대고객 통지기간을 설정한다</w:t>
      </w:r>
      <w:r>
        <w:rPr/>
        <w:t>.</w:t>
      </w:r>
    </w:p>
    <w:p>
      <w:pPr>
        <w:pStyle w:val="Normal"/>
        <w:numPr>
          <w:ilvl w:val="0"/>
          <w:numId w:val="32"/>
        </w:numPr>
        <w:rPr/>
      </w:pPr>
      <w:r>
        <w:rPr/>
        <w:t>은행의 거래조건 변경이 불리한 고객에 대해서는 당해 계약을 경제적 손실 없이 해지할 수 있는 권리를 부여하는 등 고객의 자익권 보장 수단을 마련한다</w:t>
      </w:r>
      <w:r>
        <w:rPr/>
        <w:t>.</w:t>
      </w:r>
    </w:p>
    <w:p>
      <w:pPr>
        <w:pStyle w:val="FirstParagraph"/>
        <w:rPr/>
      </w:pPr>
      <w:r>
        <w:rPr/>
        <w:t>바</w:t>
      </w:r>
      <w:r>
        <w:rPr/>
        <w:t xml:space="preserve">. </w:t>
      </w:r>
      <w:r>
        <w:rPr/>
        <w:t>이용자의 권리 의무에 중대한 영향을 미치는 내용은 큰 글자나 두드러지게 표시하여 이용자가 인지할 수 있도록 한다</w:t>
      </w:r>
      <w:r>
        <w:rPr/>
        <w:t>.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아래 「</w:t>
      </w:r>
      <w:r>
        <w:rPr/>
        <w:t xml:space="preserve">4. </w:t>
      </w:r>
      <w:r>
        <w:rPr/>
        <w:t>심의」의 각 호에서 정한 사항을 위배하지 않도록 한다</w:t>
      </w:r>
      <w:r>
        <w:rPr/>
        <w:t>.</w:t>
      </w:r>
    </w:p>
    <w:p>
      <w:pPr>
        <w:pStyle w:val="Compact"/>
        <w:numPr>
          <w:ilvl w:val="0"/>
          <w:numId w:val="33"/>
        </w:numPr>
        <w:rPr/>
      </w:pPr>
      <w:r>
        <w:rPr/>
        <w:t>원안의 작성</w:t>
      </w:r>
      <w:r>
        <w:rPr/>
        <w:t>·</w:t>
      </w:r>
      <w:r>
        <w:rPr/>
        <w:t>제출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약관의 기안권자는 해당 상품의 개발부서장이 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약관의 기안권자는 상품 설계</w:t>
      </w:r>
      <w:r>
        <w:rPr/>
        <w:t>(</w:t>
      </w:r>
      <w:r>
        <w:rPr/>
        <w:t>안</w:t>
      </w:r>
      <w:r>
        <w:rPr/>
        <w:t>)</w:t>
      </w:r>
      <w:r>
        <w:rPr/>
        <w:t>에 따라 작성된 원안</w:t>
      </w:r>
      <w:r>
        <w:rPr/>
        <w:t>(</w:t>
      </w:r>
      <w:r>
        <w:rPr/>
        <w:t>약관을 변경하는 경우에는 변경안을</w:t>
      </w:r>
    </w:p>
    <w:p>
      <w:pPr>
        <w:pStyle w:val="BodyText"/>
        <w:rPr/>
      </w:pPr>
      <w:r>
        <w:rPr/>
        <w:t>의미한다</w:t>
      </w:r>
      <w:r>
        <w:rPr/>
        <w:t xml:space="preserve">. </w:t>
      </w:r>
      <w:r>
        <w:rPr/>
        <w:t>이하 같다</w:t>
      </w:r>
      <w:r>
        <w:rPr/>
        <w:t>.)</w:t>
      </w:r>
      <w:r>
        <w:rPr/>
        <w:t>을 관련 부서의 합의를 득한 후 최종 결재자 결재 전에 준법감시인에게 제출한다</w:t>
      </w:r>
      <w:r>
        <w:rPr/>
        <w:t>. &lt;</w:t>
      </w:r>
      <w:r>
        <w:rPr/>
        <w:t xml:space="preserve">개정 </w:t>
      </w:r>
      <w:r>
        <w:rPr/>
        <w:t>2023.04.21&gt;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원안에는 상품 설계</w:t>
      </w:r>
      <w:r>
        <w:rPr/>
        <w:t>(</w:t>
      </w:r>
      <w:r>
        <w:rPr/>
        <w:t>안</w:t>
      </w:r>
      <w:r>
        <w:rPr/>
        <w:t>)</w:t>
      </w:r>
      <w:r>
        <w:rPr/>
        <w:t>을 붙여 제출한다</w:t>
      </w:r>
      <w:r>
        <w:rPr/>
        <w:t>.</w:t>
      </w:r>
    </w:p>
    <w:p>
      <w:pPr>
        <w:pStyle w:val="Compact"/>
        <w:numPr>
          <w:ilvl w:val="0"/>
          <w:numId w:val="34"/>
        </w:numPr>
        <w:rPr/>
      </w:pPr>
      <w:r>
        <w:rPr/>
        <w:t>심의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준법감시인은 약관의 원안에 대하여 위 「</w:t>
      </w:r>
      <w:r>
        <w:rPr/>
        <w:t xml:space="preserve">2. </w:t>
      </w:r>
      <w:r>
        <w:rPr/>
        <w:t>작성원칙」에 따라 작성되었는지 여부와 다음 각호의 어느 하나에 해당하는 내용이 있는지 여부를 심의한다</w:t>
      </w:r>
      <w:r>
        <w:rPr/>
        <w:t>.</w:t>
      </w:r>
    </w:p>
    <w:p>
      <w:pPr>
        <w:pStyle w:val="Normal"/>
        <w:numPr>
          <w:ilvl w:val="0"/>
          <w:numId w:val="35"/>
        </w:numPr>
        <w:rPr/>
      </w:pPr>
      <w:r>
        <w:rPr/>
        <w:t>은행의 고의 또는 중대한 과실로 인한 법률상의 책임을 배제하는 조항</w:t>
      </w:r>
    </w:p>
    <w:p>
      <w:pPr>
        <w:pStyle w:val="Normal"/>
        <w:numPr>
          <w:ilvl w:val="0"/>
          <w:numId w:val="36"/>
        </w:numPr>
        <w:rPr/>
      </w:pPr>
      <w:r>
        <w:rPr/>
        <w:t>상당한 이유없이 은행의 손해배상범위를 제한하거나 은행이 부담하여야 할 위험을 이용자에게 이전시키는 조항</w:t>
      </w:r>
    </w:p>
    <w:p>
      <w:pPr>
        <w:pStyle w:val="Normal"/>
        <w:numPr>
          <w:ilvl w:val="0"/>
          <w:numId w:val="37"/>
        </w:numPr>
        <w:rPr/>
      </w:pPr>
      <w:r>
        <w:rPr/>
        <w:t>이용자에 대하여 부당하게 과중한 지연배상금 등의 손해배상 의무를 부담시키는 조항</w:t>
      </w:r>
    </w:p>
    <w:p>
      <w:pPr>
        <w:pStyle w:val="Normal"/>
        <w:numPr>
          <w:ilvl w:val="0"/>
          <w:numId w:val="38"/>
        </w:numPr>
        <w:rPr/>
      </w:pPr>
      <w:r>
        <w:rPr/>
        <w:t>법률의 규정에 의한 이용자의 해제권 또는 해지권을 배제하거나 그 행사를 제한하는 조항</w:t>
      </w:r>
    </w:p>
    <w:p>
      <w:pPr>
        <w:pStyle w:val="Normal"/>
        <w:numPr>
          <w:ilvl w:val="0"/>
          <w:numId w:val="39"/>
        </w:numPr>
        <w:rPr/>
      </w:pPr>
      <w:r>
        <w:rPr/>
        <w:t>은행에게 법률에서 규정하고 있지 아니하는 해제권</w:t>
      </w:r>
      <w:r>
        <w:rPr/>
        <w:t>·</w:t>
      </w:r>
      <w:r>
        <w:rPr/>
        <w:t>해지권을 부여하거나 법률의 규정에 의한 해제권</w:t>
      </w:r>
      <w:r>
        <w:rPr/>
        <w:t>·</w:t>
      </w:r>
      <w:r>
        <w:rPr/>
        <w:t>해지권의 행사요건을 완화하여 이용자에 대하여 부당하게 불이익을 줄 우려가 있는 조항</w:t>
      </w:r>
    </w:p>
    <w:p>
      <w:pPr>
        <w:pStyle w:val="Normal"/>
        <w:numPr>
          <w:ilvl w:val="0"/>
          <w:numId w:val="40"/>
        </w:numPr>
        <w:rPr/>
      </w:pPr>
      <w:r>
        <w:rPr/>
        <w:t>상당한 이유없이 은행이 이행하여야 할 급부나 이용자의 채무내용 등을 은행이 일방적으로 결정</w:t>
      </w:r>
      <w:r>
        <w:rPr/>
        <w:t>·</w:t>
      </w:r>
      <w:r>
        <w:rPr/>
        <w:t>변경할 수 있도록 권한을 부여하는 조항</w:t>
      </w:r>
    </w:p>
    <w:p>
      <w:pPr>
        <w:pStyle w:val="Normal"/>
        <w:numPr>
          <w:ilvl w:val="0"/>
          <w:numId w:val="41"/>
        </w:numPr>
        <w:rPr/>
      </w:pPr>
      <w:r>
        <w:rPr/>
        <w:t>법률의 규정에 의한 이용자의 항변권</w:t>
      </w:r>
      <w:r>
        <w:rPr/>
        <w:t xml:space="preserve">, </w:t>
      </w:r>
      <w:r>
        <w:rPr/>
        <w:t>상계권 및 대위권 등의 권리를 상당한 이유없이 배제 또는 제한하는 조항</w:t>
      </w:r>
    </w:p>
    <w:p>
      <w:pPr>
        <w:pStyle w:val="Normal"/>
        <w:numPr>
          <w:ilvl w:val="0"/>
          <w:numId w:val="42"/>
        </w:numPr>
        <w:rPr/>
      </w:pPr>
      <w:r>
        <w:rPr/>
        <w:t>이용자에게 부여된 기한의 이익을 상당한 이유없이 상실케하는 조항</w:t>
      </w:r>
    </w:p>
    <w:p>
      <w:pPr>
        <w:pStyle w:val="Normal"/>
        <w:numPr>
          <w:ilvl w:val="0"/>
          <w:numId w:val="43"/>
        </w:numPr>
        <w:rPr/>
      </w:pPr>
      <w:r>
        <w:rPr/>
        <w:t>이용자의 제</w:t>
      </w:r>
      <w:r>
        <w:rPr/>
        <w:t>3</w:t>
      </w:r>
      <w:r>
        <w:rPr/>
        <w:t>자와의 계약체결을 부당하게 제한하는 조항</w:t>
      </w:r>
    </w:p>
    <w:p>
      <w:pPr>
        <w:pStyle w:val="Normal"/>
        <w:numPr>
          <w:ilvl w:val="0"/>
          <w:numId w:val="44"/>
        </w:numPr>
        <w:rPr/>
      </w:pPr>
      <w:r>
        <w:rPr/>
        <w:t>은행과 이용자의 의사표시와 관련한 부당한 의제를 통하여 이용자에게 부당하게 불이익을 주는 조항</w:t>
      </w:r>
    </w:p>
    <w:p>
      <w:pPr>
        <w:pStyle w:val="Normal"/>
        <w:numPr>
          <w:ilvl w:val="0"/>
          <w:numId w:val="45"/>
        </w:numPr>
        <w:rPr/>
      </w:pPr>
      <w:r>
        <w:rPr/>
        <w:t>보증인 또는 담보제공자에게 과도하게 책임을 부담시키거나 책임한계를 모호하게 함으로써 보증인 또는 담보제공자에게 부당하게 불이익을 주는 조항</w:t>
      </w:r>
    </w:p>
    <w:p>
      <w:pPr>
        <w:pStyle w:val="Normal"/>
        <w:numPr>
          <w:ilvl w:val="0"/>
          <w:numId w:val="46"/>
        </w:numPr>
        <w:rPr/>
      </w:pPr>
      <w:r>
        <w:rPr/>
        <w:t>「불합리한 차별행위 방지에 관한 지침」에서 금지하는 불합리한 차별행위에 해당하는 조항</w:t>
      </w:r>
    </w:p>
    <w:p>
      <w:pPr>
        <w:pStyle w:val="Normal"/>
        <w:numPr>
          <w:ilvl w:val="0"/>
          <w:numId w:val="47"/>
        </w:numPr>
        <w:rPr/>
      </w:pPr>
      <w:r>
        <w:rPr/>
        <w:t>기타 「약관의 규제에 관한 법률」등 관계법령에서 정한 사항에 위배되는 조항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준법감시인은 심의한 약관에 대하여 약관명</w:t>
      </w:r>
      <w:r>
        <w:rPr/>
        <w:t xml:space="preserve">, </w:t>
      </w:r>
      <w:r>
        <w:rPr/>
        <w:t>작성부서</w:t>
      </w:r>
      <w:r>
        <w:rPr/>
        <w:t xml:space="preserve">, </w:t>
      </w:r>
      <w:r>
        <w:rPr/>
        <w:t>시행일자</w:t>
      </w:r>
      <w:r>
        <w:rPr/>
        <w:t xml:space="preserve">, </w:t>
      </w:r>
      <w:r>
        <w:rPr/>
        <w:t>심의결과 등을 기록</w:t>
      </w:r>
      <w:r>
        <w:rPr/>
        <w:t>·</w:t>
      </w:r>
      <w:r>
        <w:rPr/>
        <w:t>관리한다</w:t>
      </w:r>
      <w:r>
        <w:rPr/>
        <w:t>.</w:t>
      </w:r>
      <w:bookmarkEnd w:id="2"/>
    </w:p>
    <w:p>
      <w:pPr>
        <w:pStyle w:val="Heading2"/>
        <w:rPr/>
      </w:pPr>
      <w:bookmarkStart w:id="3" w:name="제3장-금융감독원-보고"/>
      <w:r>
        <w:rPr/>
        <w:t>제</w:t>
      </w:r>
      <w:r>
        <w:rPr/>
        <w:t>3</w:t>
      </w:r>
      <w:r>
        <w:rPr/>
        <w:t>장 금융감독원 보고</w:t>
      </w:r>
    </w:p>
    <w:p>
      <w:pPr>
        <w:pStyle w:val="Compact"/>
        <w:numPr>
          <w:ilvl w:val="0"/>
          <w:numId w:val="48"/>
        </w:numPr>
        <w:rPr/>
      </w:pPr>
      <w:r>
        <w:rPr/>
        <w:t>보고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약관의 기안권자는 최종결재자의 결재를 득한 약관의 제정 또는 변경</w:t>
      </w:r>
      <w:r>
        <w:rPr/>
        <w:t>(</w:t>
      </w:r>
      <w:r>
        <w:rPr/>
        <w:t>안</w:t>
      </w:r>
      <w:r>
        <w:rPr/>
        <w:t>)</w:t>
      </w:r>
      <w:r>
        <w:rPr/>
        <w:t xml:space="preserve">과 약관내용을 이해하는데 필요한 관련서류를 시행예정일부터 </w:t>
      </w:r>
      <w:r>
        <w:rPr/>
        <w:t>10</w:t>
      </w:r>
      <w:r>
        <w:rPr/>
        <w:t>일전까지 금융감독원장에게 「약관 제정</w:t>
      </w:r>
      <w:r>
        <w:rPr/>
        <w:t>(</w:t>
      </w:r>
      <w:r>
        <w:rPr/>
        <w:t>변경</w:t>
      </w:r>
      <w:r>
        <w:rPr/>
        <w:t xml:space="preserve">) </w:t>
      </w:r>
      <w:r>
        <w:rPr/>
        <w:t>보고」를 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위 「가」에 불구하고 다음 각 호의 어느 하나에 해당하는 경우에는 약관의 제정 또는 변경 후 </w:t>
      </w:r>
      <w:r>
        <w:rPr/>
        <w:t>10</w:t>
      </w:r>
      <w:r>
        <w:rPr/>
        <w:t>일 이내에 제출할 수 있다</w:t>
      </w:r>
      <w:r>
        <w:rPr/>
        <w:t>.</w:t>
      </w:r>
    </w:p>
    <w:p>
      <w:pPr>
        <w:pStyle w:val="Normal"/>
        <w:numPr>
          <w:ilvl w:val="0"/>
          <w:numId w:val="49"/>
        </w:numPr>
        <w:rPr/>
      </w:pPr>
      <w:r>
        <w:rPr/>
        <w:t>이용자의 권익을 확대하거나 의무를 축소하기 위한 약관의 변경</w:t>
      </w:r>
    </w:p>
    <w:p>
      <w:pPr>
        <w:pStyle w:val="Normal"/>
        <w:numPr>
          <w:ilvl w:val="0"/>
          <w:numId w:val="50"/>
        </w:numPr>
        <w:rPr/>
      </w:pPr>
      <w:r>
        <w:rPr/>
        <w:t>금융감독원장에게 보고된 약관의 내용과 동일하거나 유사한 약관의 제정 또는 변경</w:t>
      </w:r>
    </w:p>
    <w:p>
      <w:pPr>
        <w:pStyle w:val="Normal"/>
        <w:numPr>
          <w:ilvl w:val="0"/>
          <w:numId w:val="51"/>
        </w:numPr>
        <w:rPr/>
      </w:pPr>
      <w:r>
        <w:rPr/>
        <w:t>기존상품의 약관을 신상품의 약관으로 원용</w:t>
      </w:r>
    </w:p>
    <w:p>
      <w:pPr>
        <w:pStyle w:val="Normal"/>
        <w:numPr>
          <w:ilvl w:val="0"/>
          <w:numId w:val="52"/>
        </w:numPr>
        <w:rPr/>
      </w:pPr>
      <w:r>
        <w:rPr/>
        <w:t>기존상품의 명칭만을 변경</w:t>
      </w:r>
    </w:p>
    <w:p>
      <w:pPr>
        <w:pStyle w:val="Normal"/>
        <w:numPr>
          <w:ilvl w:val="0"/>
          <w:numId w:val="53"/>
        </w:numPr>
        <w:rPr/>
      </w:pPr>
      <w:r>
        <w:rPr/>
        <w:t>법령의 개정 또는 금융위원회의 명령에 의한 약관의 변경</w:t>
      </w:r>
    </w:p>
    <w:p>
      <w:pPr>
        <w:pStyle w:val="Normal"/>
        <w:numPr>
          <w:ilvl w:val="0"/>
          <w:numId w:val="54"/>
        </w:numPr>
        <w:rPr/>
      </w:pPr>
      <w:r>
        <w:rPr/>
        <w:t>이용자의 권익이나 의무사항을 제외한 사항으로서 단순히 업무편의를 위한 약관의 변경</w:t>
      </w:r>
    </w:p>
    <w:p>
      <w:pPr>
        <w:pStyle w:val="Normal"/>
        <w:numPr>
          <w:ilvl w:val="0"/>
          <w:numId w:val="55"/>
        </w:numPr>
        <w:rPr/>
      </w:pPr>
      <w:r>
        <w:rPr/>
        <w:t>단순히 부가서비스를 추가하거나 삭제하기 위한 약관의 변경</w:t>
      </w:r>
    </w:p>
    <w:p>
      <w:pPr>
        <w:pStyle w:val="Normal"/>
        <w:numPr>
          <w:ilvl w:val="0"/>
          <w:numId w:val="56"/>
        </w:numPr>
        <w:rPr/>
      </w:pPr>
      <w:r>
        <w:rPr/>
        <w:t>사업자단체의 표준약관을 원용하는 약관의 제정 또는 변경</w:t>
      </w:r>
    </w:p>
    <w:p>
      <w:pPr>
        <w:pStyle w:val="Compact"/>
        <w:numPr>
          <w:ilvl w:val="0"/>
          <w:numId w:val="57"/>
        </w:numPr>
        <w:rPr/>
      </w:pPr>
      <w:r>
        <w:rPr/>
        <w:t xml:space="preserve">전자금융거래 약관의 보고 </w:t>
      </w:r>
      <w:r>
        <w:rPr/>
        <w:t>&lt;</w:t>
      </w:r>
      <w:r>
        <w:rPr/>
        <w:t xml:space="preserve">개정 </w:t>
      </w:r>
      <w:r>
        <w:rPr/>
        <w:t>2023.04.21&gt;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전자금융거래 약관을 제정 또는 변경하고자 하는 경우에는 해당 약관 및 약관내용을 이해하는데 필요한 관련서류를 시행예정일 </w:t>
      </w:r>
      <w:r>
        <w:rPr/>
        <w:t>45</w:t>
      </w:r>
      <w:r>
        <w:rPr/>
        <w:t>일 전까지 금융감독원장에게 「약관 제정</w:t>
      </w:r>
      <w:r>
        <w:rPr/>
        <w:t>(</w:t>
      </w:r>
      <w:r>
        <w:rPr/>
        <w:t>변경</w:t>
      </w:r>
      <w:r>
        <w:rPr/>
        <w:t xml:space="preserve">) </w:t>
      </w:r>
      <w:r>
        <w:rPr/>
        <w:t>보고」를 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 xml:space="preserve">이용자의 권익이나 의무에 불리한 영향이 없는 경우로서 다음 각 호의 어느 하나에 해당하는 경우에는 약관의 제정 또는 변경 후 </w:t>
      </w:r>
      <w:r>
        <w:rPr/>
        <w:t>10</w:t>
      </w:r>
      <w:r>
        <w:rPr/>
        <w:t>일 이내에 제출할 수 있다</w:t>
      </w:r>
      <w:r>
        <w:rPr/>
        <w:t>.</w:t>
      </w:r>
    </w:p>
    <w:p>
      <w:pPr>
        <w:pStyle w:val="Normal"/>
        <w:numPr>
          <w:ilvl w:val="0"/>
          <w:numId w:val="58"/>
        </w:numPr>
        <w:rPr/>
      </w:pPr>
      <w:r>
        <w:rPr/>
        <w:t>이용자의 권익을 확대하거나 의무를 축소하기 위한 약관의 변경</w:t>
      </w:r>
    </w:p>
    <w:p>
      <w:pPr>
        <w:pStyle w:val="Normal"/>
        <w:numPr>
          <w:ilvl w:val="0"/>
          <w:numId w:val="59"/>
        </w:numPr>
        <w:rPr/>
      </w:pPr>
      <w:r>
        <w:rPr/>
        <w:t>금융감독원장에게 보고된 약관의 내용과 동일하거나 유사한 약관의 제정 또는 변경</w:t>
      </w:r>
    </w:p>
    <w:p>
      <w:pPr>
        <w:pStyle w:val="Normal"/>
        <w:numPr>
          <w:ilvl w:val="0"/>
          <w:numId w:val="60"/>
        </w:numPr>
        <w:rPr/>
      </w:pPr>
      <w:r>
        <w:rPr/>
        <w:t>법령의 개정 또는 금융위원회의 명령에 의한 약관의 변경</w:t>
      </w:r>
    </w:p>
    <w:p>
      <w:pPr>
        <w:pStyle w:val="Normal"/>
        <w:numPr>
          <w:ilvl w:val="0"/>
          <w:numId w:val="61"/>
        </w:numPr>
        <w:rPr/>
      </w:pPr>
      <w:r>
        <w:rPr/>
        <w:t>이용자의 권익이나 의무사항을 제외한 사항으로서 단순히 업무편의를 위한 약관의 변경</w:t>
      </w:r>
    </w:p>
    <w:p>
      <w:pPr>
        <w:pStyle w:val="Normal"/>
        <w:numPr>
          <w:ilvl w:val="0"/>
          <w:numId w:val="62"/>
        </w:numPr>
        <w:rPr/>
      </w:pPr>
      <w:r>
        <w:rPr/>
        <w:t>사업자단체의 표준약관을 원용하는 약관의 제정 또는 변경</w:t>
      </w:r>
    </w:p>
    <w:p>
      <w:pPr>
        <w:pStyle w:val="Compact"/>
        <w:numPr>
          <w:ilvl w:val="0"/>
          <w:numId w:val="63"/>
        </w:numPr>
        <w:rPr/>
      </w:pPr>
      <w:r>
        <w:rPr/>
        <w:t>변경 권고 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약관의 기안권자는 위 「</w:t>
      </w:r>
      <w:r>
        <w:rPr/>
        <w:t>1</w:t>
      </w:r>
      <w:r>
        <w:rPr/>
        <w:t>」</w:t>
      </w:r>
      <w:r>
        <w:rPr/>
        <w:t xml:space="preserve">, </w:t>
      </w:r>
      <w:r>
        <w:rPr/>
        <w:t>「</w:t>
      </w:r>
      <w:r>
        <w:rPr/>
        <w:t>2</w:t>
      </w:r>
      <w:r>
        <w:rPr/>
        <w:t>」의 약관 제정</w:t>
      </w:r>
      <w:r>
        <w:rPr/>
        <w:t>(</w:t>
      </w:r>
      <w:r>
        <w:rPr/>
        <w:t>변경</w:t>
      </w:r>
      <w:r>
        <w:rPr/>
        <w:t xml:space="preserve">) </w:t>
      </w:r>
      <w:r>
        <w:rPr/>
        <w:t xml:space="preserve">보고 후 금융감독원장으로부터 변경권고를 받은 경우 변경권고를 받은 날부터 </w:t>
      </w:r>
      <w:r>
        <w:rPr/>
        <w:t>5</w:t>
      </w:r>
      <w:r>
        <w:rPr/>
        <w:t>영업일 이내에 해당 권고의 수락 여부를 금융감독원장에게 보고하고</w:t>
      </w:r>
      <w:r>
        <w:rPr/>
        <w:t xml:space="preserve">, </w:t>
      </w:r>
      <w:r>
        <w:rPr/>
        <w:t xml:space="preserve">변경권고를 수락한 경우 수락보고일부터 </w:t>
      </w:r>
      <w:r>
        <w:rPr/>
        <w:t>5</w:t>
      </w:r>
      <w:r>
        <w:rPr/>
        <w:t>영업일 이내에 수정된 약관을 보고하여야 한다</w:t>
      </w:r>
      <w:r>
        <w:rPr/>
        <w:t>. &lt;</w:t>
      </w:r>
      <w:r>
        <w:rPr/>
        <w:t xml:space="preserve">개정 </w:t>
      </w:r>
      <w:r>
        <w:rPr/>
        <w:t>2023.04.21&gt;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약관의 기안권자는 공정거래위원회 등 행정기관으로부터 약관의 시정명령</w:t>
      </w:r>
      <w:r>
        <w:rPr/>
        <w:t xml:space="preserve">, </w:t>
      </w:r>
      <w:r>
        <w:rPr/>
        <w:t>시정권고</w:t>
      </w:r>
      <w:r>
        <w:rPr/>
        <w:t xml:space="preserve">, </w:t>
      </w:r>
      <w:r>
        <w:rPr/>
        <w:t>또는 약관과 관련한 자료제출요청을 받은 경우 지체없이 금융감독원장에게 이를 보고하여야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위 「가」</w:t>
      </w:r>
      <w:r>
        <w:rPr/>
        <w:t>,</w:t>
      </w:r>
      <w:r>
        <w:rPr/>
        <w:t>「나」의 경우 약관의 기안권자는 지체없이 준법감시인에게 이를 보고하여야 한다</w:t>
      </w:r>
      <w:r>
        <w:rPr/>
        <w:t>.</w:t>
      </w:r>
      <w:bookmarkEnd w:id="3"/>
    </w:p>
    <w:p>
      <w:pPr>
        <w:pStyle w:val="Heading2"/>
        <w:rPr/>
      </w:pPr>
      <w:bookmarkStart w:id="4" w:name="제4장-공시관리-등"/>
      <w:r>
        <w:rPr/>
        <w:t>제</w:t>
      </w:r>
      <w:r>
        <w:rPr/>
        <w:t>4</w:t>
      </w:r>
      <w:r>
        <w:rPr/>
        <w:t>장 공시</w:t>
      </w:r>
      <w:r>
        <w:rPr/>
        <w:t>·</w:t>
      </w:r>
      <w:r>
        <w:rPr/>
        <w:t>관리 등</w:t>
      </w:r>
    </w:p>
    <w:p>
      <w:pPr>
        <w:pStyle w:val="Compact"/>
        <w:numPr>
          <w:ilvl w:val="0"/>
          <w:numId w:val="64"/>
        </w:numPr>
        <w:rPr/>
      </w:pPr>
      <w:r>
        <w:rPr/>
        <w:t>공시</w:t>
      </w:r>
    </w:p>
    <w:p>
      <w:pPr>
        <w:pStyle w:val="FirstParagraph"/>
        <w:rPr/>
      </w:pPr>
      <w:r>
        <w:rPr/>
        <w:t>약관의 기안권자는 약관을 제정하거나 변경한 경우 은행이용자가 약관 또는 약관의 변경 내용을 쉽게 찾아 이용할 수 있도록 인터넷 홈페이지 등에 공시하여야 한다</w:t>
      </w:r>
      <w:r>
        <w:rPr/>
        <w:t>.</w:t>
      </w:r>
    </w:p>
    <w:p>
      <w:pPr>
        <w:pStyle w:val="Compact"/>
        <w:numPr>
          <w:ilvl w:val="0"/>
          <w:numId w:val="65"/>
        </w:numPr>
        <w:rPr/>
      </w:pPr>
      <w:r>
        <w:rPr/>
        <w:t>공시방법 등</w:t>
      </w:r>
    </w:p>
    <w:p>
      <w:pPr>
        <w:pStyle w:val="FirstParagraph"/>
        <w:rPr/>
      </w:pPr>
      <w:r>
        <w:rPr/>
        <w:t>위 「</w:t>
      </w:r>
      <w:r>
        <w:rPr/>
        <w:t>1</w:t>
      </w:r>
      <w:r>
        <w:rPr/>
        <w:t>」에 따라 약관을 공시하는 경우 다음 각 호의 사항을 준수하여야 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인터넷홈페이지 공시는 이용자가 언제든지 약관을 열람 또는 수령할 수 있도록 운영하여야 하고</w:t>
      </w:r>
      <w:r>
        <w:rPr/>
        <w:t xml:space="preserve">, </w:t>
      </w:r>
      <w:r>
        <w:rPr/>
        <w:t>영업점에서는 이용자가 요청하는 경우 즉시 약관을 제공하여야 한다</w:t>
      </w:r>
      <w:r>
        <w:rPr/>
        <w:t>. &lt;</w:t>
      </w:r>
      <w:r>
        <w:rPr/>
        <w:t xml:space="preserve">개정 </w:t>
      </w:r>
      <w:r>
        <w:rPr/>
        <w:t>2023.04.21&gt;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약관의 시행일</w:t>
      </w:r>
      <w:r>
        <w:rPr/>
        <w:t>(</w:t>
      </w:r>
      <w:r>
        <w:rPr/>
        <w:t>변경된 경우에는 변경약관의 시행일 포함</w:t>
      </w:r>
      <w:r>
        <w:rPr/>
        <w:t xml:space="preserve">), </w:t>
      </w:r>
      <w:r>
        <w:rPr/>
        <w:t>변경 전</w:t>
      </w:r>
      <w:r>
        <w:rPr/>
        <w:t>·</w:t>
      </w:r>
      <w:r>
        <w:rPr/>
        <w:t>후 약관내용의 비교</w:t>
      </w:r>
      <w:r>
        <w:rPr/>
        <w:t xml:space="preserve">, </w:t>
      </w:r>
      <w:r>
        <w:rPr/>
        <w:t>기존 가입고객에 대한 변경약관의 적용여부</w:t>
      </w:r>
      <w:r>
        <w:rPr/>
        <w:t xml:space="preserve">, </w:t>
      </w:r>
      <w:r>
        <w:rPr/>
        <w:t>약관 적용대상 상품판매가 종료된 경우 상품판매 종료사실 및 종료일 등을 표시하여야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약관은 계약이 종료한 후 </w:t>
      </w:r>
      <w:r>
        <w:rPr/>
        <w:t>3</w:t>
      </w:r>
      <w:r>
        <w:rPr/>
        <w:t>년까지 공시하여야 한다</w:t>
      </w:r>
      <w:r>
        <w:rPr/>
        <w:t>.</w:t>
      </w:r>
    </w:p>
    <w:p>
      <w:pPr>
        <w:pStyle w:val="Compact"/>
        <w:numPr>
          <w:ilvl w:val="0"/>
          <w:numId w:val="66"/>
        </w:numPr>
        <w:rPr/>
      </w:pPr>
      <w:r>
        <w:rPr/>
        <w:t xml:space="preserve">전자금융거래 공시방법 </w:t>
      </w:r>
      <w:r>
        <w:rPr/>
        <w:t>&lt;</w:t>
      </w:r>
      <w:r>
        <w:rPr/>
        <w:t xml:space="preserve">개정 </w:t>
      </w:r>
      <w:r>
        <w:rPr/>
        <w:t>2023.04.21&gt;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전자금융거래 약관을 변경하는 때에는 변경되는 약관의 시행일 </w:t>
      </w:r>
      <w:r>
        <w:rPr/>
        <w:t>1</w:t>
      </w:r>
      <w:r>
        <w:rPr/>
        <w:t>월 전에 전자금융거래를 수행하는 전자적 장치에 이를 게시하고 이용자에게 알려야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 xml:space="preserve">법령의 개정으로 인하여 긴급하게 약관을 변경하는 때에는 변경된 약관을 전자적 장치에 최소 </w:t>
      </w:r>
      <w:r>
        <w:rPr/>
        <w:t>1</w:t>
      </w:r>
      <w:r>
        <w:rPr/>
        <w:t>월 이상 게시하고 이용자에게 통지하여야 한다</w:t>
      </w:r>
      <w:r>
        <w:rPr/>
        <w:t>.</w:t>
      </w:r>
    </w:p>
    <w:p>
      <w:pPr>
        <w:pStyle w:val="Compact"/>
        <w:numPr>
          <w:ilvl w:val="0"/>
          <w:numId w:val="67"/>
        </w:numPr>
        <w:rPr/>
      </w:pPr>
      <w:r>
        <w:rPr/>
        <w:t>관리 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약관의 기안권자는 제정 및 개폐 약관의 시행 통지</w:t>
      </w:r>
      <w:r>
        <w:rPr/>
        <w:t xml:space="preserve">, </w:t>
      </w:r>
      <w:r>
        <w:rPr/>
        <w:t>관련 직원 교육 등 그 시행에 필요한 조치를 취한다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약관의 기안권자는 시행 약관을 전산시스템</w:t>
      </w:r>
      <w:r>
        <w:rPr/>
        <w:t>(</w:t>
      </w:r>
      <w:r>
        <w:rPr/>
        <w:t>규정정보시스템</w:t>
      </w:r>
      <w:r>
        <w:rPr/>
        <w:t>)</w:t>
      </w:r>
      <w:r>
        <w:rPr/>
        <w:t>에 등재하여 관리한다</w:t>
      </w:r>
      <w:r>
        <w:rPr/>
        <w:t>.</w:t>
      </w:r>
      <w:bookmarkEnd w:id="4"/>
    </w:p>
    <w:p>
      <w:pPr>
        <w:pStyle w:val="Heading2"/>
        <w:rPr/>
      </w:pPr>
      <w:bookmarkStart w:id="5" w:name="제5장-기타-개정-2023.04.21"/>
      <w:r>
        <w:rPr/>
        <w:t>제</w:t>
      </w:r>
      <w:r>
        <w:rPr/>
        <w:t>5</w:t>
      </w:r>
      <w:r>
        <w:rPr/>
        <w:t xml:space="preserve">장 기타 </w:t>
      </w:r>
      <w:r>
        <w:rPr/>
        <w:t>&lt;</w:t>
      </w:r>
      <w:r>
        <w:rPr/>
        <w:t xml:space="preserve">개정 </w:t>
      </w:r>
      <w:r>
        <w:rPr/>
        <w:t>2023.04.21&gt;</w:t>
      </w:r>
    </w:p>
    <w:p>
      <w:pPr>
        <w:pStyle w:val="Compact"/>
        <w:numPr>
          <w:ilvl w:val="0"/>
          <w:numId w:val="68"/>
        </w:numPr>
        <w:rPr/>
      </w:pPr>
      <w:r>
        <w:rPr/>
        <w:t xml:space="preserve">관련 법령 등의 준용 </w:t>
      </w:r>
      <w:r>
        <w:rPr/>
        <w:t>&lt;</w:t>
      </w:r>
      <w:r>
        <w:rPr/>
        <w:t xml:space="preserve">개정 </w:t>
      </w:r>
      <w:r>
        <w:rPr/>
        <w:t>2023.04.21&gt;</w:t>
      </w:r>
    </w:p>
    <w:p>
      <w:pPr>
        <w:pStyle w:val="FirstParagraph"/>
        <w:rPr/>
      </w:pPr>
      <w:r>
        <w:rPr/>
        <w:t>동 지침에서 정하지 않은 사항에 대하여는 은행법 및 동 시행령</w:t>
      </w:r>
      <w:r>
        <w:rPr/>
        <w:t xml:space="preserve">, </w:t>
      </w:r>
      <w:r>
        <w:rPr/>
        <w:t>은행업감독규정 및 동 시행세칙</w:t>
      </w:r>
      <w:r>
        <w:rPr/>
        <w:t xml:space="preserve">, </w:t>
      </w:r>
      <w:r>
        <w:rPr/>
        <w:t>전자금융거래법 등 관련 법규와 준법감시인직무규정 등 관련 내규에서 정하는 바에 따르기로 한다</w:t>
      </w:r>
      <w:r>
        <w:rPr/>
        <w:t>.</w:t>
      </w:r>
      <w:bookmarkEnd w:id="5"/>
    </w:p>
    <w:p>
      <w:pPr>
        <w:pStyle w:val="Heading2"/>
        <w:rPr/>
      </w:pPr>
      <w:bookmarkStart w:id="6" w:name="부-칙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2010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6"/>
    </w:p>
    <w:p>
      <w:pPr>
        <w:pStyle w:val="Heading2"/>
        <w:rPr/>
      </w:pPr>
      <w:bookmarkStart w:id="7" w:name="부-칙-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2013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7"/>
    </w:p>
    <w:p>
      <w:pPr>
        <w:pStyle w:val="Heading2"/>
        <w:rPr/>
      </w:pPr>
      <w:bookmarkStart w:id="8" w:name="부-칙-2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지침은 </w:t>
      </w:r>
      <w:r>
        <w:rPr/>
        <w:t>2023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0"/>
      <w:bookmarkEnd w:id="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1"/>
    <w:lvlOverride w:ilvl="0">
      <w:startOverride w:val="1"/>
    </w:lvlOverride>
  </w:num>
  <w:num w:numId="24">
    <w:abstractNumId w:val="2"/>
    <w:lvlOverride w:ilvl="0">
      <w:startOverride w:val="2"/>
    </w:lvlOverride>
  </w:num>
  <w:num w:numId="25">
    <w:abstractNumId w:val="3"/>
    <w:lvlOverride w:ilvl="0">
      <w:startOverride w:val="3"/>
    </w:lvlOverride>
  </w:num>
  <w:num w:numId="26">
    <w:abstractNumId w:val="4"/>
    <w:lvlOverride w:ilvl="0">
      <w:startOverride w:val="4"/>
    </w:lvlOverride>
  </w:num>
  <w:num w:numId="27">
    <w:abstractNumId w:val="1"/>
    <w:lvlOverride w:ilvl="0">
      <w:startOverride w:val="1"/>
    </w:lvlOverride>
  </w:num>
  <w:num w:numId="28">
    <w:abstractNumId w:val="2"/>
    <w:lvlOverride w:ilvl="0">
      <w:startOverride w:val="2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</w:num>
  <w:num w:numId="32">
    <w:abstractNumId w:val="7"/>
  </w:num>
  <w:num w:numId="33">
    <w:abstractNumId w:val="3"/>
    <w:lvlOverride w:ilvl="0">
      <w:startOverride w:val="3"/>
    </w:lvlOverride>
  </w:num>
  <w:num w:numId="34">
    <w:abstractNumId w:val="4"/>
    <w:lvlOverride w:ilvl="0">
      <w:startOverride w:val="4"/>
    </w:lvlOverride>
  </w:num>
  <w:num w:numId="35">
    <w:abstractNumId w:val="7"/>
    <w:lvlOverride w:ilvl="0">
      <w:startOverride w:val="1"/>
    </w:lvlOverride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7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7"/>
  </w:num>
  <w:num w:numId="47">
    <w:abstractNumId w:val="7"/>
  </w:num>
  <w:num w:numId="48">
    <w:abstractNumId w:val="1"/>
    <w:lvlOverride w:ilvl="0">
      <w:startOverride w:val="1"/>
    </w:lvlOverride>
  </w:num>
  <w:num w:numId="49">
    <w:abstractNumId w:val="7"/>
    <w:lvlOverride w:ilvl="0">
      <w:startOverride w:val="1"/>
    </w:lvlOverride>
  </w:num>
  <w:num w:numId="50">
    <w:abstractNumId w:val="7"/>
  </w:num>
  <w:num w:numId="51">
    <w:abstractNumId w:val="7"/>
  </w:num>
  <w:num w:numId="52">
    <w:abstractNumId w:val="7"/>
  </w:num>
  <w:num w:numId="53">
    <w:abstractNumId w:val="7"/>
  </w:num>
  <w:num w:numId="54">
    <w:abstractNumId w:val="7"/>
  </w:num>
  <w:num w:numId="55">
    <w:abstractNumId w:val="7"/>
  </w:num>
  <w:num w:numId="56">
    <w:abstractNumId w:val="7"/>
  </w:num>
  <w:num w:numId="57">
    <w:abstractNumId w:val="2"/>
    <w:lvlOverride w:ilvl="0">
      <w:startOverride w:val="2"/>
    </w:lvlOverride>
  </w:num>
  <w:num w:numId="58">
    <w:abstractNumId w:val="7"/>
    <w:lvlOverride w:ilvl="0">
      <w:startOverride w:val="1"/>
    </w:lvlOverride>
  </w:num>
  <w:num w:numId="59">
    <w:abstractNumId w:val="7"/>
  </w:num>
  <w:num w:numId="60">
    <w:abstractNumId w:val="7"/>
  </w:num>
  <w:num w:numId="61">
    <w:abstractNumId w:val="7"/>
  </w:num>
  <w:num w:numId="62">
    <w:abstractNumId w:val="7"/>
  </w:num>
  <w:num w:numId="63">
    <w:abstractNumId w:val="3"/>
    <w:lvlOverride w:ilvl="0">
      <w:startOverride w:val="3"/>
    </w:lvlOverride>
  </w:num>
  <w:num w:numId="64">
    <w:abstractNumId w:val="1"/>
    <w:lvlOverride w:ilvl="0">
      <w:startOverride w:val="1"/>
    </w:lvlOverride>
  </w:num>
  <w:num w:numId="65">
    <w:abstractNumId w:val="2"/>
    <w:lvlOverride w:ilvl="0">
      <w:startOverride w:val="2"/>
    </w:lvlOverride>
  </w:num>
  <w:num w:numId="66">
    <w:abstractNumId w:val="3"/>
    <w:lvlOverride w:ilvl="0">
      <w:startOverride w:val="3"/>
    </w:lvlOverride>
  </w:num>
  <w:num w:numId="67">
    <w:abstractNumId w:val="4"/>
    <w:lvlOverride w:ilvl="0">
      <w:startOverride w:val="4"/>
    </w:lvlOverride>
  </w:num>
  <w:num w:numId="6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