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bookmarkStart w:id="0" w:name="비예금상품-내부통제-지침"/>
      <w:r>
        <w:rPr/>
        <w:t>비예금상품 내부통제 지침</w:t>
      </w:r>
    </w:p>
    <w:p>
      <w:pPr>
        <w:pStyle w:val="FirstParagraph"/>
        <w:rPr/>
      </w:pPr>
      <w:r>
        <w:rPr/>
        <w:t xml:space="preserve">ㆍ제정 </w:t>
      </w:r>
      <w:r>
        <w:rPr/>
        <w:t>2021-01-01</w:t>
      </w:r>
    </w:p>
    <w:p>
      <w:pPr>
        <w:pStyle w:val="BodyText"/>
        <w:rPr/>
      </w:pPr>
      <w:r>
        <w:rPr/>
        <w:t xml:space="preserve">ㆍ개정 </w:t>
      </w:r>
      <w:r>
        <w:rPr/>
        <w:t>2025-11-10</w:t>
      </w:r>
    </w:p>
    <w:p>
      <w:pPr>
        <w:pStyle w:val="Heading2"/>
        <w:rPr/>
      </w:pPr>
      <w:bookmarkStart w:id="1" w:name="제1장-총칙"/>
      <w:r>
        <w:rPr/>
        <w:t>제</w:t>
      </w:r>
      <w:r>
        <w:rPr/>
        <w:t>1</w:t>
      </w:r>
      <w:r>
        <w:rPr/>
        <w:t>장 총칙</w:t>
      </w:r>
    </w:p>
    <w:p>
      <w:pPr>
        <w:pStyle w:val="Heading3"/>
        <w:rPr/>
      </w:pPr>
      <w:bookmarkStart w:id="2" w:name="제1조-목적"/>
      <w:r>
        <w:rPr/>
        <w:t>제</w:t>
      </w:r>
      <w:r>
        <w:rPr/>
        <w:t>1</w:t>
      </w:r>
      <w:r>
        <w:rPr/>
        <w:t xml:space="preserve">조 </w:t>
      </w:r>
      <w:r>
        <w:rPr/>
        <w:t>(</w:t>
      </w:r>
      <w:r>
        <w:rPr/>
        <w:t>목적</w:t>
      </w:r>
      <w:r>
        <w:rPr/>
        <w:t>)</w:t>
      </w:r>
    </w:p>
    <w:p>
      <w:pPr>
        <w:pStyle w:val="FirstParagraph"/>
        <w:rPr/>
      </w:pPr>
      <w:r>
        <w:rPr/>
        <w:t>이 지침은 은행이용자 보호 및 건전한 시장질서 확립을 위해 은행이 판매하는 비예금 금융상품의 기획</w:t>
      </w:r>
      <w:r>
        <w:rPr/>
        <w:t>·</w:t>
      </w:r>
      <w:r>
        <w:rPr/>
        <w:t>선정</w:t>
      </w:r>
      <w:r>
        <w:rPr/>
        <w:t>·</w:t>
      </w:r>
      <w:r>
        <w:rPr/>
        <w:t>판매 및 사후관리</w:t>
      </w:r>
      <w:r>
        <w:rPr/>
        <w:t xml:space="preserve">, </w:t>
      </w:r>
      <w:r>
        <w:rPr/>
        <w:t>그리고 그와 관련한 성과평가에 있어 은행 및 은행 임직원이 준수하여야 할 기본적인 기준 및 절차를 정하는데 그 목적이 있다</w:t>
      </w:r>
      <w:r>
        <w:rPr/>
        <w:t>.</w:t>
      </w:r>
      <w:bookmarkEnd w:id="2"/>
    </w:p>
    <w:p>
      <w:pPr>
        <w:pStyle w:val="Heading3"/>
        <w:rPr/>
      </w:pPr>
      <w:bookmarkStart w:id="3" w:name="제2조용어의-정의"/>
      <w:r>
        <w:rPr/>
        <w:t>제</w:t>
      </w:r>
      <w:r>
        <w:rPr/>
        <w:t>2</w:t>
      </w:r>
      <w:r>
        <w:rPr/>
        <w:t>조</w:t>
      </w:r>
      <w:r>
        <w:rPr/>
        <w:t>(</w:t>
      </w:r>
      <w:r>
        <w:rPr/>
        <w:t>용어의 정의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이 지침에서 사용하는 용어의 정의는 다음과 같다</w:t>
      </w:r>
      <w:r>
        <w:rPr/>
        <w:t>.</w:t>
      </w:r>
    </w:p>
    <w:p>
      <w:pPr>
        <w:pStyle w:val="Normal"/>
        <w:numPr>
          <w:ilvl w:val="0"/>
          <w:numId w:val="6"/>
        </w:numPr>
        <w:rPr/>
      </w:pPr>
      <w:r>
        <w:rPr/>
        <w:t>“</w:t>
      </w:r>
      <w:r>
        <w:rPr/>
        <w:t>비예금 금융상품</w:t>
      </w:r>
      <w:r>
        <w:rPr/>
        <w:t>(</w:t>
      </w:r>
      <w:r>
        <w:rPr/>
        <w:t>이하 ‘비예금상품’이라 한다</w:t>
      </w:r>
      <w:r>
        <w:rPr/>
        <w:t>)”</w:t>
      </w:r>
      <w:r>
        <w:rPr/>
        <w:t>이란 은행이 판매하는 금융상품 중「은행법」에 따른 예금상품 등 원금이 보장되는 상품이 아닌 금융상품을 말한다</w:t>
      </w:r>
      <w:r>
        <w:rPr/>
        <w:t>.</w:t>
      </w:r>
    </w:p>
    <w:p>
      <w:pPr>
        <w:pStyle w:val="Normal"/>
        <w:numPr>
          <w:ilvl w:val="1"/>
          <w:numId w:val="7"/>
        </w:numPr>
        <w:rPr/>
      </w:pPr>
      <w:r>
        <w:rPr/>
        <w:t>“</w:t>
      </w:r>
      <w:r>
        <w:rPr/>
        <w:t>고난도 금융상품”이란 「자본시장과 금융투자업에 관한 법률」 시행령 제</w:t>
      </w:r>
      <w:r>
        <w:rPr/>
        <w:t>2</w:t>
      </w:r>
      <w:r>
        <w:rPr/>
        <w:t>조 제</w:t>
      </w:r>
      <w:r>
        <w:rPr/>
        <w:t>7</w:t>
      </w:r>
      <w:r>
        <w:rPr/>
        <w:t>호에 따른 고난도 금융투자상품을 말한다</w:t>
      </w:r>
      <w:r>
        <w:rPr/>
        <w:t>.</w:t>
      </w:r>
    </w:p>
    <w:p>
      <w:pPr>
        <w:pStyle w:val="Normal"/>
        <w:numPr>
          <w:ilvl w:val="1"/>
          <w:numId w:val="2"/>
        </w:numPr>
        <w:rPr/>
      </w:pPr>
      <w:r>
        <w:rPr/>
        <w:t>“</w:t>
      </w:r>
      <w:r>
        <w:rPr/>
        <w:t>내부통제”란 은행의 목표달성을 위하여 모든 임직원이 직무 수행 시 준수해야 하는 일련의 통제 과정을 말한다</w:t>
      </w:r>
      <w:r>
        <w:rPr/>
        <w:t>.</w:t>
      </w:r>
    </w:p>
    <w:p>
      <w:pPr>
        <w:pStyle w:val="Normal"/>
        <w:numPr>
          <w:ilvl w:val="1"/>
          <w:numId w:val="2"/>
        </w:numPr>
        <w:rPr/>
      </w:pPr>
      <w:r>
        <w:rPr/>
        <w:t>“</w:t>
      </w:r>
      <w:r>
        <w:rPr/>
        <w:t>내부통제체계”란 효과적인 내부통제 활동을 수행하기 위한 조직구조</w:t>
      </w:r>
      <w:r>
        <w:rPr/>
        <w:t xml:space="preserve">, </w:t>
      </w:r>
      <w:r>
        <w:rPr/>
        <w:t>업무분장 및 승인절차</w:t>
      </w:r>
      <w:r>
        <w:rPr/>
        <w:t xml:space="preserve">, </w:t>
      </w:r>
      <w:r>
        <w:rPr/>
        <w:t>의사소통</w:t>
      </w:r>
      <w:r>
        <w:rPr/>
        <w:t>·</w:t>
      </w:r>
      <w:r>
        <w:rPr/>
        <w:t>모니터링</w:t>
      </w:r>
      <w:r>
        <w:rPr/>
        <w:t>·</w:t>
      </w:r>
      <w:r>
        <w:rPr/>
        <w:t>정보시스템 등의 종합적인 체계를 말한다</w:t>
      </w:r>
      <w:r>
        <w:rPr/>
        <w:t>.</w:t>
      </w:r>
    </w:p>
    <w:p>
      <w:pPr>
        <w:pStyle w:val="Normal"/>
        <w:numPr>
          <w:ilvl w:val="1"/>
          <w:numId w:val="2"/>
        </w:numPr>
        <w:rPr/>
      </w:pPr>
      <w:r>
        <w:rPr/>
        <w:t>“</w:t>
      </w:r>
      <w:r>
        <w:rPr/>
        <w:t>내부통제기준”이란 법령을 준수하고</w:t>
      </w:r>
      <w:r>
        <w:rPr/>
        <w:t xml:space="preserve">, </w:t>
      </w:r>
      <w:r>
        <w:rPr/>
        <w:t>경영을 건전하게 하며</w:t>
      </w:r>
      <w:r>
        <w:rPr/>
        <w:t xml:space="preserve">, </w:t>
      </w:r>
      <w:r>
        <w:rPr/>
        <w:t>은행이용자 및 주주 등을 보호하기 위하여 은행 임직원이 직무를 수행할 때 준수하여야 할 기준 및 절차를 말한다</w:t>
      </w:r>
      <w:r>
        <w:rPr/>
        <w:t>.</w:t>
      </w:r>
    </w:p>
    <w:p>
      <w:pPr>
        <w:pStyle w:val="Normal"/>
        <w:numPr>
          <w:ilvl w:val="1"/>
          <w:numId w:val="2"/>
        </w:numPr>
        <w:rPr/>
      </w:pPr>
      <w:r>
        <w:rPr/>
        <w:t>“</w:t>
      </w:r>
      <w:r>
        <w:rPr/>
        <w:t>준법감시인”이란 내부통제기준의 준수 여부를 점검하고 내부통제기준을 위반하는 경우 이를 조사하는 등 내부통제 관련 업무를 총괄하는 사람으로서 「금융회사의 지배구조에 관한 법률」제</w:t>
      </w:r>
      <w:r>
        <w:rPr/>
        <w:t>25</w:t>
      </w:r>
      <w:r>
        <w:rPr/>
        <w:t>조에 따라 선임된 자를 말한다</w:t>
      </w:r>
      <w:r>
        <w:rPr/>
        <w:t>.</w:t>
      </w:r>
    </w:p>
    <w:p>
      <w:pPr>
        <w:pStyle w:val="Normal"/>
        <w:numPr>
          <w:ilvl w:val="0"/>
          <w:numId w:val="1"/>
        </w:numPr>
        <w:rPr/>
      </w:pPr>
      <w:r>
        <w:rPr/>
        <w:t>“</w:t>
      </w:r>
      <w:r>
        <w:rPr/>
        <w:t>성과평가지표</w:t>
      </w:r>
      <w:r>
        <w:rPr/>
        <w:t>(KPI)”</w:t>
      </w:r>
      <w:r>
        <w:rPr/>
        <w:t>란 상품 판매 등에 따른 재무적 실적달성으로 은행 임직원의 인사평가 및 성과급 지급 등에 영향을 미치는 평가지표를 말한다</w:t>
      </w:r>
      <w:r>
        <w:rPr/>
        <w:t>.</w:t>
      </w:r>
    </w:p>
    <w:p>
      <w:pPr>
        <w:pStyle w:val="Normal"/>
        <w:numPr>
          <w:ilvl w:val="0"/>
          <w:numId w:val="1"/>
        </w:numPr>
        <w:rPr/>
      </w:pPr>
      <w:r>
        <w:rPr/>
        <w:t>“</w:t>
      </w:r>
      <w:r>
        <w:rPr/>
        <w:t>제조 금융회사”란 비예금상품을 제조하는 금융회사를 말하며</w:t>
      </w:r>
      <w:r>
        <w:rPr/>
        <w:t>, “</w:t>
      </w:r>
      <w:r>
        <w:rPr/>
        <w:t>제조”란 금융회사가 신규로 금융상품을 설계</w:t>
      </w:r>
      <w:r>
        <w:rPr/>
        <w:t xml:space="preserve">, </w:t>
      </w:r>
      <w:r>
        <w:rPr/>
        <w:t>개발</w:t>
      </w:r>
      <w:r>
        <w:rPr/>
        <w:t xml:space="preserve">, </w:t>
      </w:r>
      <w:r>
        <w:rPr/>
        <w:t>발행하는 행위를 의미한다</w:t>
      </w:r>
      <w:r>
        <w:rPr/>
        <w:t>.</w:t>
      </w:r>
    </w:p>
    <w:p>
      <w:pPr>
        <w:pStyle w:val="Normal"/>
        <w:numPr>
          <w:ilvl w:val="0"/>
          <w:numId w:val="1"/>
        </w:numPr>
        <w:rPr/>
      </w:pPr>
      <w:r>
        <w:rPr/>
        <w:t>“</w:t>
      </w:r>
      <w:r>
        <w:rPr/>
        <w:t>상품담당부서”란 비예금상품의 선정을 제외한 상품의 기획∙판매 및 사후관리 업무를 담당 하는 부서를 말한다</w:t>
      </w:r>
      <w:r>
        <w:rPr/>
        <w:t>.</w:t>
      </w:r>
    </w:p>
    <w:p>
      <w:pPr>
        <w:pStyle w:val="FirstParagraph"/>
        <w:rPr/>
      </w:pPr>
      <w:r>
        <w:rPr/>
        <w:t xml:space="preserve">② </w:t>
      </w:r>
      <w:r>
        <w:rPr/>
        <w:t>그 밖에 이 규준에서 사용하는 용어의 정의는 「은행법」</w:t>
      </w:r>
      <w:r>
        <w:rPr/>
        <w:t xml:space="preserve">, </w:t>
      </w:r>
      <w:r>
        <w:rPr/>
        <w:t>「금융회사의 지배구조에 관한 법률」</w:t>
      </w:r>
      <w:r>
        <w:rPr/>
        <w:t xml:space="preserve">, </w:t>
      </w:r>
      <w:r>
        <w:rPr/>
        <w:t>「자본시장과 금융투자업에 관한 법률」</w:t>
      </w:r>
      <w:r>
        <w:rPr/>
        <w:t xml:space="preserve">, </w:t>
      </w:r>
      <w:r>
        <w:rPr/>
        <w:t xml:space="preserve">「금융소비자 보호에 관한 법률」 등 </w:t>
      </w:r>
      <w:r>
        <w:rPr/>
        <w:t>(</w:t>
      </w:r>
      <w:r>
        <w:rPr/>
        <w:t>이하 ‘관련법규’ 라 한다</w:t>
      </w:r>
      <w:r>
        <w:rPr/>
        <w:t>)</w:t>
      </w:r>
      <w:r>
        <w:rPr/>
        <w:t>에서 정하는 바에 따른다</w:t>
      </w:r>
      <w:r>
        <w:rPr/>
        <w:t>.</w:t>
      </w:r>
      <w:bookmarkEnd w:id="3"/>
    </w:p>
    <w:p>
      <w:pPr>
        <w:pStyle w:val="Heading3"/>
        <w:rPr/>
      </w:pPr>
      <w:bookmarkStart w:id="4" w:name="제3조적용대상"/>
      <w:r>
        <w:rPr/>
        <w:t>제</w:t>
      </w:r>
      <w:r>
        <w:rPr/>
        <w:t>3</w:t>
      </w:r>
      <w:r>
        <w:rPr/>
        <w:t>조</w:t>
      </w:r>
      <w:r>
        <w:rPr/>
        <w:t>(</w:t>
      </w:r>
      <w:r>
        <w:rPr/>
        <w:t>적용대상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이 지침은 은행이 「금융소비자보호에 관한 법률」제</w:t>
      </w:r>
      <w:r>
        <w:rPr/>
        <w:t>2</w:t>
      </w:r>
      <w:r>
        <w:rPr/>
        <w:t>조제</w:t>
      </w:r>
      <w:r>
        <w:rPr/>
        <w:t>10</w:t>
      </w:r>
      <w:r>
        <w:rPr/>
        <w:t>호에 따른 일반금융소비자와 「중소기업기본법」 제</w:t>
      </w:r>
      <w:r>
        <w:rPr/>
        <w:t>2</w:t>
      </w:r>
      <w:r>
        <w:rPr/>
        <w:t>조제</w:t>
      </w:r>
      <w:r>
        <w:rPr/>
        <w:t>1</w:t>
      </w:r>
      <w:r>
        <w:rPr/>
        <w:t>항에 따른 중소기업</w:t>
      </w:r>
      <w:r>
        <w:rPr/>
        <w:t>(</w:t>
      </w:r>
      <w:r>
        <w:rPr/>
        <w:t>「자본시장과 금융투자업에 관한 법률」에 따른 전문투자자는 제외한다</w:t>
      </w:r>
      <w:r>
        <w:rPr/>
        <w:t>)</w:t>
      </w:r>
      <w:r>
        <w:rPr/>
        <w:t>에 판매하는 모든 비예금상품에 적용된다</w:t>
      </w:r>
      <w:r>
        <w:rPr/>
        <w:t xml:space="preserve">. </w:t>
      </w:r>
      <w:r>
        <w:rPr/>
        <w:t>다만</w:t>
      </w:r>
      <w:r>
        <w:rPr/>
        <w:t xml:space="preserve">, </w:t>
      </w:r>
      <w:r>
        <w:rPr/>
        <w:t>다음 각 호의 상품은 적용하지 아니한다</w:t>
      </w:r>
      <w:r>
        <w:rPr/>
        <w:t>.</w:t>
      </w:r>
    </w:p>
    <w:p>
      <w:pPr>
        <w:pStyle w:val="Normal"/>
        <w:numPr>
          <w:ilvl w:val="0"/>
          <w:numId w:val="8"/>
        </w:numPr>
        <w:rPr/>
      </w:pPr>
      <w:r>
        <w:rPr/>
        <w:t>「보험업법」에 따른 보험상품</w:t>
      </w:r>
      <w:r>
        <w:rPr/>
        <w:t>(</w:t>
      </w:r>
      <w:r>
        <w:rPr/>
        <w:t>변액보험계약은 제외한다</w:t>
      </w:r>
      <w:r>
        <w:rPr/>
        <w:t>)</w:t>
      </w:r>
    </w:p>
    <w:p>
      <w:pPr>
        <w:pStyle w:val="Normal"/>
        <w:numPr>
          <w:ilvl w:val="0"/>
          <w:numId w:val="9"/>
        </w:numPr>
        <w:rPr/>
      </w:pPr>
      <w:r>
        <w:rPr/>
        <w:t>「여신전문금융업법」에 따른 신용카드</w:t>
      </w:r>
      <w:r>
        <w:rPr/>
        <w:t xml:space="preserve">, </w:t>
      </w:r>
      <w:r>
        <w:rPr/>
        <w:t>직불카드</w:t>
      </w:r>
      <w:r>
        <w:rPr/>
        <w:t xml:space="preserve">, </w:t>
      </w:r>
      <w:r>
        <w:rPr/>
        <w:t>선불카드 및 「전자금융거래법」에 따른 직불전자지급수단</w:t>
      </w:r>
      <w:r>
        <w:rPr/>
        <w:t xml:space="preserve">, </w:t>
      </w:r>
      <w:r>
        <w:rPr/>
        <w:t>선불전자지급수단</w:t>
      </w:r>
    </w:p>
    <w:p>
      <w:pPr>
        <w:pStyle w:val="Normal"/>
        <w:numPr>
          <w:ilvl w:val="0"/>
          <w:numId w:val="10"/>
        </w:numPr>
        <w:rPr/>
      </w:pPr>
      <w:r>
        <w:rPr/>
        <w:t>「은행법」에 따른 대출 등 신용공여</w:t>
      </w:r>
    </w:p>
    <w:p>
      <w:pPr>
        <w:pStyle w:val="Normal"/>
        <w:numPr>
          <w:ilvl w:val="0"/>
          <w:numId w:val="11"/>
        </w:numPr>
        <w:rPr/>
      </w:pPr>
      <w:r>
        <w:rPr/>
        <w:t>「자본시장과 금융투자업에 관한 법률」에 따른 신탁</w:t>
      </w:r>
      <w:r>
        <w:rPr/>
        <w:t>(</w:t>
      </w:r>
      <w:r>
        <w:rPr/>
        <w:t>금융투자상품 이외의 자산과 제</w:t>
      </w:r>
      <w:r>
        <w:rPr/>
        <w:t>7</w:t>
      </w:r>
      <w:r>
        <w:rPr/>
        <w:t>호의 자산으로 운용되는 경우로 한한다</w:t>
      </w:r>
      <w:r>
        <w:rPr/>
        <w:t>)</w:t>
      </w:r>
    </w:p>
    <w:p>
      <w:pPr>
        <w:pStyle w:val="Normal"/>
        <w:numPr>
          <w:ilvl w:val="0"/>
          <w:numId w:val="12"/>
        </w:numPr>
        <w:rPr/>
      </w:pPr>
      <w:r>
        <w:rPr/>
        <w:t>「근로자 퇴직급여 보장법」에 따른 퇴직연금</w:t>
      </w:r>
      <w:r>
        <w:rPr/>
        <w:t>(</w:t>
      </w:r>
      <w:r>
        <w:rPr/>
        <w:t>고난도 금융상품에 해당하지 않는 경우로 한한다</w:t>
      </w:r>
      <w:r>
        <w:rPr/>
        <w:t>)</w:t>
      </w:r>
    </w:p>
    <w:p>
      <w:pPr>
        <w:pStyle w:val="Normal"/>
        <w:numPr>
          <w:ilvl w:val="0"/>
          <w:numId w:val="13"/>
        </w:numPr>
        <w:rPr/>
      </w:pPr>
      <w:r>
        <w:rPr/>
        <w:t>「조세특례제한법」에 따른 개인종합자산관리계좌</w:t>
      </w:r>
      <w:r>
        <w:rPr/>
        <w:t>(</w:t>
      </w:r>
      <w:r>
        <w:rPr/>
        <w:t>금융투자상품 이외의 자산과 제</w:t>
      </w:r>
      <w:r>
        <w:rPr/>
        <w:t>7</w:t>
      </w:r>
      <w:r>
        <w:rPr/>
        <w:t>호의 자산으로 운용되는 경우로 한한다</w:t>
      </w:r>
      <w:r>
        <w:rPr/>
        <w:t>)</w:t>
      </w:r>
    </w:p>
    <w:p>
      <w:pPr>
        <w:pStyle w:val="Normal"/>
        <w:numPr>
          <w:ilvl w:val="0"/>
          <w:numId w:val="14"/>
        </w:numPr>
        <w:rPr/>
      </w:pPr>
      <w:r>
        <w:rPr/>
        <w:t>국공채</w:t>
      </w:r>
      <w:r>
        <w:rPr/>
        <w:t xml:space="preserve">, </w:t>
      </w:r>
      <w:r>
        <w:rPr/>
        <w:t>특수채</w:t>
      </w:r>
      <w:r>
        <w:rPr/>
        <w:t>, MMF, MMT, RP</w:t>
      </w:r>
    </w:p>
    <w:p>
      <w:pPr>
        <w:pStyle w:val="FirstParagraph"/>
        <w:rPr/>
      </w:pPr>
      <w:r>
        <w:rPr/>
        <w:t xml:space="preserve">② </w:t>
      </w:r>
      <w:r>
        <w:rPr/>
        <w:t>상품담당부서는 제</w:t>
      </w:r>
      <w:r>
        <w:rPr/>
        <w:t>1</w:t>
      </w:r>
      <w:r>
        <w:rPr/>
        <w:t>항에도 불구하고 원금손실 가능성 및 불완전판매 소지가 낮은 비예금상품에 한하여 이사회 승인을 거쳐 동 규준을 적용하지 않을 수 있다</w:t>
      </w:r>
      <w:r>
        <w:rPr/>
        <w:t>.</w:t>
      </w:r>
    </w:p>
    <w:p>
      <w:pPr>
        <w:pStyle w:val="BodyText"/>
        <w:rPr/>
      </w:pPr>
      <w:r>
        <w:rPr/>
        <w:t xml:space="preserve">③ </w:t>
      </w:r>
      <w:r>
        <w:rPr/>
        <w:t>상품담당부서는 제</w:t>
      </w:r>
      <w:r>
        <w:rPr/>
        <w:t>1</w:t>
      </w:r>
      <w:r>
        <w:rPr/>
        <w:t>항에 따른 적용대상 비예금상품을 정하는 세부기준을 마련하여 운영하여야 한다</w:t>
      </w:r>
      <w:r>
        <w:rPr/>
        <w:t>.</w:t>
      </w:r>
      <w:bookmarkEnd w:id="4"/>
    </w:p>
    <w:p>
      <w:pPr>
        <w:pStyle w:val="Heading3"/>
        <w:rPr/>
      </w:pPr>
      <w:bookmarkStart w:id="5" w:name="제4조다른-법규와의-관계"/>
      <w:r>
        <w:rPr/>
        <w:t>제</w:t>
      </w:r>
      <w:r>
        <w:rPr/>
        <w:t>4</w:t>
      </w:r>
      <w:r>
        <w:rPr/>
        <w:t>조</w:t>
      </w:r>
      <w:r>
        <w:rPr/>
        <w:t>(</w:t>
      </w:r>
      <w:r>
        <w:rPr/>
        <w:t>다른 법규와의 관계</w:t>
      </w:r>
      <w:r>
        <w:rPr/>
        <w:t>)</w:t>
      </w:r>
    </w:p>
    <w:p>
      <w:pPr>
        <w:pStyle w:val="FirstParagraph"/>
        <w:rPr/>
      </w:pPr>
      <w:r>
        <w:rPr/>
        <w:t>은행은 비예금상품 판매시 이 지침과 여타 관련법규에 따른 금융상품 판매에 관한 규정을 동시에 준수하여야 한다</w:t>
      </w:r>
      <w:r>
        <w:rPr/>
        <w:t>.</w:t>
      </w:r>
      <w:bookmarkEnd w:id="5"/>
    </w:p>
    <w:p>
      <w:pPr>
        <w:pStyle w:val="Heading3"/>
        <w:rPr/>
      </w:pPr>
      <w:bookmarkStart w:id="6" w:name="제5조신의성실-원칙"/>
      <w:r>
        <w:rPr/>
        <w:t>제</w:t>
      </w:r>
      <w:r>
        <w:rPr/>
        <w:t>5</w:t>
      </w:r>
      <w:r>
        <w:rPr/>
        <w:t>조</w:t>
      </w:r>
      <w:r>
        <w:rPr/>
        <w:t>(</w:t>
      </w:r>
      <w:r>
        <w:rPr/>
        <w:t>신의성실 원칙</w:t>
      </w:r>
      <w:r>
        <w:rPr/>
        <w:t>)</w:t>
      </w:r>
    </w:p>
    <w:p>
      <w:pPr>
        <w:pStyle w:val="FirstParagraph"/>
        <w:rPr/>
      </w:pPr>
      <w:r>
        <w:rPr/>
        <w:t>은행 및 은행 임직원은 상품 기획∙선정</w:t>
      </w:r>
      <w:r>
        <w:rPr/>
        <w:t xml:space="preserve">, </w:t>
      </w:r>
      <w:r>
        <w:rPr/>
        <w:t>상품 판매</w:t>
      </w:r>
      <w:r>
        <w:rPr/>
        <w:t xml:space="preserve">, </w:t>
      </w:r>
      <w:r>
        <w:rPr/>
        <w:t>판매 후 사후관리 등 비예금상품 판매의 모든 업무 단계에 있어 관련법규를 준수하며 고객의 권익을 최우선에 두고 업무를 수행하여야 한다</w:t>
      </w:r>
      <w:r>
        <w:rPr/>
        <w:t>.</w:t>
      </w:r>
      <w:bookmarkEnd w:id="1"/>
      <w:bookmarkEnd w:id="6"/>
    </w:p>
    <w:p>
      <w:pPr>
        <w:pStyle w:val="Heading2"/>
        <w:rPr/>
      </w:pPr>
      <w:bookmarkStart w:id="7" w:name="제2장-비예금상품위원회"/>
      <w:r>
        <w:rPr/>
        <w:t>제</w:t>
      </w:r>
      <w:r>
        <w:rPr/>
        <w:t>2</w:t>
      </w:r>
      <w:r>
        <w:rPr/>
        <w:t>장 비예금상품위원회</w:t>
      </w:r>
    </w:p>
    <w:p>
      <w:pPr>
        <w:pStyle w:val="Heading3"/>
        <w:rPr/>
      </w:pPr>
      <w:bookmarkStart w:id="8" w:name="제6조비예금상품위원회의-설치-및-역할"/>
      <w:r>
        <w:rPr/>
        <w:t>제</w:t>
      </w:r>
      <w:r>
        <w:rPr/>
        <w:t>6</w:t>
      </w:r>
      <w:r>
        <w:rPr/>
        <w:t>조</w:t>
      </w:r>
      <w:r>
        <w:rPr/>
        <w:t>(</w:t>
      </w:r>
      <w:r>
        <w:rPr/>
        <w:t>비예금상품위원회의 설치 및 역할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은행은 비예금상품의 기획∙선정 및 판매</w:t>
      </w:r>
      <w:r>
        <w:rPr/>
        <w:t xml:space="preserve">, </w:t>
      </w:r>
      <w:r>
        <w:rPr/>
        <w:t>사후관리에 관한 사항을 협의하기 위하여 비예금 상품위원회</w:t>
      </w:r>
      <w:r>
        <w:rPr/>
        <w:t>(</w:t>
      </w:r>
      <w:r>
        <w:rPr/>
        <w:t>이하 ‘위원회’라 한다</w:t>
      </w:r>
      <w:r>
        <w:rPr/>
        <w:t>)</w:t>
      </w:r>
      <w:r>
        <w:rPr/>
        <w:t>를 설치한다</w:t>
      </w:r>
      <w:r>
        <w:rPr/>
        <w:t>.</w:t>
      </w:r>
    </w:p>
    <w:p>
      <w:pPr>
        <w:pStyle w:val="BodyText"/>
        <w:rPr/>
      </w:pPr>
      <w:r>
        <w:rPr/>
        <w:t xml:space="preserve">② </w:t>
      </w:r>
      <w:r>
        <w:rPr/>
        <w:t>위원회의 설치 및 위원의 선정</w:t>
      </w:r>
      <w:r>
        <w:rPr/>
        <w:t xml:space="preserve">, </w:t>
      </w:r>
      <w:r>
        <w:rPr/>
        <w:t>위원회의 역할 등에 관한 사항은 「비예금상품위원회 운영지침」에서 정하는 바에 따른다</w:t>
      </w:r>
      <w:r>
        <w:rPr/>
        <w:t>.</w:t>
      </w:r>
      <w:bookmarkEnd w:id="8"/>
    </w:p>
    <w:p>
      <w:pPr>
        <w:pStyle w:val="Heading3"/>
        <w:rPr/>
      </w:pPr>
      <w:bookmarkStart w:id="9" w:name="제7조비예금상품위원회-운영의-점검"/>
      <w:r>
        <w:rPr/>
        <w:t>제</w:t>
      </w:r>
      <w:r>
        <w:rPr/>
        <w:t>7</w:t>
      </w:r>
      <w:r>
        <w:rPr/>
        <w:t>조</w:t>
      </w:r>
      <w:r>
        <w:rPr/>
        <w:t>(</w:t>
      </w:r>
      <w:r>
        <w:rPr/>
        <w:t>비예금상품위원회 운영의 점검</w:t>
      </w:r>
      <w:r>
        <w:rPr/>
        <w:t>)</w:t>
      </w:r>
    </w:p>
    <w:p>
      <w:pPr>
        <w:pStyle w:val="FirstParagraph"/>
        <w:rPr/>
      </w:pPr>
      <w:r>
        <w:rPr/>
        <w:t>준법감시인은 위원회 심의 또는 보고대상임에도 누락되는 일이 발생하지 않도록 위원회</w:t>
      </w:r>
      <w:r>
        <w:rPr/>
        <w:t>(</w:t>
      </w:r>
      <w:r>
        <w:rPr/>
        <w:t>협의회 포함</w:t>
      </w:r>
      <w:r>
        <w:rPr/>
        <w:t xml:space="preserve">) </w:t>
      </w:r>
      <w:r>
        <w:rPr/>
        <w:t>운영내역을 주기적으로 점검하여야 한다</w:t>
      </w:r>
      <w:r>
        <w:rPr/>
        <w:t>.</w:t>
      </w:r>
      <w:bookmarkEnd w:id="9"/>
    </w:p>
    <w:p>
      <w:pPr>
        <w:pStyle w:val="Heading3"/>
        <w:rPr/>
      </w:pPr>
      <w:bookmarkStart w:id="10" w:name="제8조위원회-산하조직의-설치"/>
      <w:r>
        <w:rPr/>
        <w:t>제</w:t>
      </w:r>
      <w:r>
        <w:rPr/>
        <w:t>8</w:t>
      </w:r>
      <w:r>
        <w:rPr/>
        <w:t>조</w:t>
      </w:r>
      <w:r>
        <w:rPr/>
        <w:t>(</w:t>
      </w:r>
      <w:r>
        <w:rPr/>
        <w:t>위원회 산하조직의 설치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위원회는 소관업무의 효율적 처리를 위해 부서장 협의회</w:t>
      </w:r>
      <w:r>
        <w:rPr/>
        <w:t>(</w:t>
      </w:r>
      <w:r>
        <w:rPr/>
        <w:t>이하 ‘협의회’라 한다</w:t>
      </w:r>
      <w:r>
        <w:rPr/>
        <w:t>)</w:t>
      </w:r>
      <w:r>
        <w:rPr/>
        <w:t>를 두어 소관 업무 중 일부를 처리하게 할 수 있다</w:t>
      </w:r>
      <w:r>
        <w:rPr/>
        <w:t>.</w:t>
      </w:r>
    </w:p>
    <w:p>
      <w:pPr>
        <w:pStyle w:val="BodyText"/>
        <w:rPr/>
      </w:pPr>
      <w:r>
        <w:rPr/>
        <w:t xml:space="preserve">② </w:t>
      </w:r>
      <w:r>
        <w:rPr/>
        <w:t>제</w:t>
      </w:r>
      <w:r>
        <w:rPr/>
        <w:t>1</w:t>
      </w:r>
      <w:r>
        <w:rPr/>
        <w:t>항에도 불구하고 다음 각 호의 사항은 위원회가 직접 심의하여야 한다</w:t>
      </w:r>
      <w:r>
        <w:rPr/>
        <w:t>.</w:t>
      </w:r>
    </w:p>
    <w:p>
      <w:pPr>
        <w:pStyle w:val="Normal"/>
        <w:numPr>
          <w:ilvl w:val="0"/>
          <w:numId w:val="15"/>
        </w:numPr>
        <w:rPr/>
      </w:pPr>
      <w:r>
        <w:rPr/>
        <w:t>고난도 금융상품의 판매에 관한 사항</w:t>
      </w:r>
    </w:p>
    <w:p>
      <w:pPr>
        <w:pStyle w:val="Normal"/>
        <w:numPr>
          <w:ilvl w:val="0"/>
          <w:numId w:val="16"/>
        </w:numPr>
        <w:rPr/>
      </w:pPr>
      <w:r>
        <w:rPr/>
        <w:t>해외대체펀드</w:t>
      </w:r>
      <w:r>
        <w:rPr/>
        <w:t>(</w:t>
      </w:r>
      <w:r>
        <w:rPr/>
        <w:t>기초자산이 해외에 소재하거나 제조 금융회사 및 자문회사 등이 해외기업인 경우를 포함한다</w:t>
      </w:r>
      <w:r>
        <w:rPr/>
        <w:t>)</w:t>
      </w:r>
      <w:r>
        <w:rPr/>
        <w:t>의 판매에 관한 사항</w:t>
      </w:r>
    </w:p>
    <w:p>
      <w:pPr>
        <w:pStyle w:val="Normal"/>
        <w:numPr>
          <w:ilvl w:val="0"/>
          <w:numId w:val="17"/>
        </w:numPr>
        <w:rPr/>
      </w:pPr>
      <w:r>
        <w:rPr/>
        <w:t xml:space="preserve">상품에 대한 위험도 분류결과 투자등급이 </w:t>
      </w:r>
      <w:r>
        <w:rPr/>
        <w:t>3</w:t>
      </w:r>
      <w:r>
        <w:rPr/>
        <w:t>등급</w:t>
      </w:r>
      <w:r>
        <w:rPr/>
        <w:t>(</w:t>
      </w:r>
      <w:r>
        <w:rPr/>
        <w:t>다소 높은 위험</w:t>
      </w:r>
      <w:r>
        <w:rPr/>
        <w:t>)</w:t>
      </w:r>
      <w:r>
        <w:rPr/>
        <w:t>이상인 상품의 판매에 관한 사항</w:t>
      </w:r>
    </w:p>
    <w:p>
      <w:pPr>
        <w:pStyle w:val="Normal"/>
        <w:numPr>
          <w:ilvl w:val="0"/>
          <w:numId w:val="18"/>
        </w:numPr>
        <w:rPr/>
      </w:pPr>
      <w:r>
        <w:rPr/>
        <w:t>기존 상품과 동일한 상품의 재판매에 관한 사항으로서 사전에 마련한 정량</w:t>
      </w:r>
      <w:r>
        <w:rPr/>
        <w:t>·</w:t>
      </w:r>
      <w:r>
        <w:rPr/>
        <w:t>정성적 판단기준</w:t>
      </w:r>
      <w:r>
        <w:rPr/>
        <w:t>(</w:t>
      </w:r>
      <w:r>
        <w:rPr/>
        <w:t>기초자산의 변화</w:t>
      </w:r>
      <w:r>
        <w:rPr/>
        <w:t xml:space="preserve">, </w:t>
      </w:r>
      <w:r>
        <w:rPr/>
        <w:t>손실배수의 변경</w:t>
      </w:r>
      <w:r>
        <w:rPr/>
        <w:t xml:space="preserve">, </w:t>
      </w:r>
      <w:r>
        <w:rPr/>
        <w:t>시장환경 변화 등</w:t>
      </w:r>
      <w:r>
        <w:rPr/>
        <w:t>)</w:t>
      </w:r>
      <w:r>
        <w:rPr/>
        <w:t>에 따라 상품의 손실가능성이 예측되거나 위험도나 구조에 상당한 변화가 있는 경우</w:t>
      </w:r>
    </w:p>
    <w:p>
      <w:pPr>
        <w:pStyle w:val="Normal"/>
        <w:numPr>
          <w:ilvl w:val="0"/>
          <w:numId w:val="19"/>
        </w:numPr>
        <w:rPr/>
      </w:pPr>
      <w:r>
        <w:rPr/>
        <w:t>기타 은행이 정하는 사항 등</w:t>
      </w:r>
    </w:p>
    <w:p>
      <w:pPr>
        <w:pStyle w:val="FirstParagraph"/>
        <w:rPr/>
      </w:pPr>
      <w:r>
        <w:rPr/>
        <w:t xml:space="preserve">③ </w:t>
      </w:r>
      <w:r>
        <w:rPr/>
        <w:t>위원회가 위원회 산하조직에 위임할 사항을 정하는 기준</w:t>
      </w:r>
      <w:r>
        <w:rPr/>
        <w:t xml:space="preserve">, </w:t>
      </w:r>
      <w:r>
        <w:rPr/>
        <w:t>그 기준에 따른 위임사항</w:t>
      </w:r>
      <w:r>
        <w:rPr/>
        <w:t xml:space="preserve">, </w:t>
      </w:r>
      <w:r>
        <w:rPr/>
        <w:t>위원회 산하조직의 운영절차 등 위임에 관한 모든 사항은 이사회에 보고하고 문서화하여야 한다</w:t>
      </w:r>
      <w:r>
        <w:rPr/>
        <w:t>.</w:t>
      </w:r>
    </w:p>
    <w:p>
      <w:pPr>
        <w:pStyle w:val="BodyText"/>
        <w:rPr/>
      </w:pPr>
      <w:r>
        <w:rPr/>
        <w:t xml:space="preserve">④ </w:t>
      </w:r>
      <w:r>
        <w:rPr/>
        <w:t>위원회 산하조직의 구성</w:t>
      </w:r>
      <w:r>
        <w:rPr/>
        <w:t xml:space="preserve">, </w:t>
      </w:r>
      <w:r>
        <w:rPr/>
        <w:t>역할</w:t>
      </w:r>
      <w:r>
        <w:rPr/>
        <w:t xml:space="preserve">, </w:t>
      </w:r>
      <w:r>
        <w:rPr/>
        <w:t>운영</w:t>
      </w:r>
      <w:r>
        <w:rPr/>
        <w:t xml:space="preserve">, </w:t>
      </w:r>
      <w:r>
        <w:rPr/>
        <w:t>보고 등에 관한 사항은 「비예금상품위원회 운영지침」에서 정하는 바에 따른다</w:t>
      </w:r>
      <w:r>
        <w:rPr/>
        <w:t>.</w:t>
      </w:r>
      <w:bookmarkEnd w:id="7"/>
      <w:bookmarkEnd w:id="10"/>
    </w:p>
    <w:p>
      <w:pPr>
        <w:pStyle w:val="Heading2"/>
        <w:rPr/>
      </w:pPr>
      <w:bookmarkStart w:id="11" w:name="제3장-상품-기획선정"/>
      <w:r>
        <w:rPr/>
        <w:t>제</w:t>
      </w:r>
      <w:r>
        <w:rPr/>
        <w:t>3</w:t>
      </w:r>
      <w:r>
        <w:rPr/>
        <w:t>장 상품 기획</w:t>
      </w:r>
      <w:r>
        <w:rPr/>
        <w:t>·</w:t>
      </w:r>
      <w:r>
        <w:rPr/>
        <w:t>선정</w:t>
      </w:r>
    </w:p>
    <w:p>
      <w:pPr>
        <w:pStyle w:val="Heading3"/>
        <w:rPr/>
      </w:pPr>
      <w:bookmarkStart w:id="12" w:name="제9조판매한도의-설정-등"/>
      <w:r>
        <w:rPr/>
        <w:t>제</w:t>
      </w:r>
      <w:r>
        <w:rPr/>
        <w:t>9</w:t>
      </w:r>
      <w:r>
        <w:rPr/>
        <w:t>조</w:t>
      </w:r>
      <w:r>
        <w:rPr/>
        <w:t>(</w:t>
      </w:r>
      <w:r>
        <w:rPr/>
        <w:t>판매한도의 설정 등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상품담당부서는 비예금상품의 판매여부</w:t>
      </w:r>
      <w:r>
        <w:rPr/>
        <w:t xml:space="preserve">, </w:t>
      </w:r>
      <w:r>
        <w:rPr/>
        <w:t>판매대상 고객군</w:t>
      </w:r>
      <w:r>
        <w:rPr/>
        <w:t xml:space="preserve">, </w:t>
      </w:r>
      <w:r>
        <w:rPr/>
        <w:t>은행의 총 판매한도</w:t>
      </w:r>
      <w:r>
        <w:rPr/>
        <w:t xml:space="preserve">, </w:t>
      </w:r>
      <w:r>
        <w:rPr/>
        <w:t>개별 고객별 판매한도</w:t>
      </w:r>
      <w:r>
        <w:rPr/>
        <w:t xml:space="preserve">, </w:t>
      </w:r>
      <w:r>
        <w:rPr/>
        <w:t>판매채널을 사전에 정하여 위원회를 통하여 심의 또는 결의하여야 한다</w:t>
      </w:r>
      <w:r>
        <w:rPr/>
        <w:t>.</w:t>
      </w:r>
    </w:p>
    <w:p>
      <w:pPr>
        <w:pStyle w:val="BodyText"/>
        <w:rPr/>
      </w:pPr>
      <w:r>
        <w:rPr/>
        <w:t xml:space="preserve">② </w:t>
      </w:r>
      <w:r>
        <w:rPr/>
        <w:t>상품담당부서는 위원회로부터 고객당 판매한도 및 전체 판매한도의 증액을 승인 받은 경우에는 판매한도를 늘릴 수 있으며 이 경우 판매한도 증액에 대한 위원회의 직접 심의를 거쳐 은행장의 승인을 득해야 하며</w:t>
      </w:r>
      <w:r>
        <w:rPr/>
        <w:t xml:space="preserve">, </w:t>
      </w:r>
      <w:r>
        <w:rPr/>
        <w:t>해당 심의 내용을 포함한 증액사실은 비예금상품위원회 지원부서가 이사회에 보고해야 한다</w:t>
      </w:r>
      <w:r>
        <w:rPr/>
        <w:t>.</w:t>
      </w:r>
    </w:p>
    <w:p>
      <w:pPr>
        <w:pStyle w:val="BodyText"/>
        <w:rPr/>
      </w:pPr>
      <w:r>
        <w:rPr/>
        <w:t xml:space="preserve">③ </w:t>
      </w:r>
      <w:r>
        <w:rPr/>
        <w:t>상품담당부서는 제</w:t>
      </w:r>
      <w:r>
        <w:rPr/>
        <w:t>1</w:t>
      </w:r>
      <w:r>
        <w:rPr/>
        <w:t>항 및 제</w:t>
      </w:r>
      <w:r>
        <w:rPr/>
        <w:t>2</w:t>
      </w:r>
      <w:r>
        <w:rPr/>
        <w:t>항에 따른 판매한도 등을 정하기 위한 세부지침</w:t>
      </w:r>
      <w:r>
        <w:rPr/>
        <w:t>(</w:t>
      </w:r>
      <w:r>
        <w:rPr/>
        <w:t>기준 포함</w:t>
      </w:r>
      <w:r>
        <w:rPr/>
        <w:t>)</w:t>
      </w:r>
      <w:r>
        <w:rPr/>
        <w:t>을 마련해야하며 고난도금융상품은 별도의 관리한도를 설정해야 한다</w:t>
      </w:r>
      <w:r>
        <w:rPr/>
        <w:t>.</w:t>
      </w:r>
    </w:p>
    <w:p>
      <w:pPr>
        <w:pStyle w:val="BodyText"/>
        <w:rPr/>
      </w:pPr>
      <w:r>
        <w:rPr/>
        <w:t xml:space="preserve">④ </w:t>
      </w:r>
      <w:r>
        <w:rPr/>
        <w:t>비예금상품 선정의 객관성과 투명성을 제고하기 위해 위원회를 보좌하는 부서</w:t>
      </w:r>
      <w:r>
        <w:rPr/>
        <w:t>(</w:t>
      </w:r>
      <w:r>
        <w:rPr/>
        <w:t>조직</w:t>
      </w:r>
      <w:r>
        <w:rPr/>
        <w:t>)</w:t>
      </w:r>
      <w:r>
        <w:rPr/>
        <w:t>는 영업업무와 분리된 「금융소비자보호부」에서 담당하고</w:t>
      </w:r>
      <w:r>
        <w:rPr/>
        <w:t xml:space="preserve">, </w:t>
      </w:r>
      <w:r>
        <w:rPr/>
        <w:t>동 부서에 대한 성과평가시 비예금상품의 판매 실적 등과 연계하여서는 아니 된다</w:t>
      </w:r>
      <w:r>
        <w:rPr/>
        <w:t>.</w:t>
      </w:r>
      <w:bookmarkEnd w:id="12"/>
    </w:p>
    <w:p>
      <w:pPr>
        <w:pStyle w:val="Heading3"/>
        <w:rPr/>
      </w:pPr>
      <w:bookmarkStart w:id="13" w:name="제10조제조-금융회사에-대한-평가"/>
      <w:r>
        <w:rPr/>
        <w:t>제</w:t>
      </w:r>
      <w:r>
        <w:rPr/>
        <w:t>10</w:t>
      </w:r>
      <w:r>
        <w:rPr/>
        <w:t>조</w:t>
      </w:r>
      <w:r>
        <w:rPr/>
        <w:t>(</w:t>
      </w:r>
      <w:r>
        <w:rPr/>
        <w:t>제조 금융회사에 대한 평가</w:t>
      </w:r>
      <w:r>
        <w:rPr/>
        <w:t>)</w:t>
      </w:r>
    </w:p>
    <w:p>
      <w:pPr>
        <w:pStyle w:val="FirstParagraph"/>
        <w:rPr/>
      </w:pPr>
      <w:r>
        <w:rPr/>
        <w:t>상품담당부서는 외부 제조 금융회사의 비예금상품을 판매하는 경우 고객 보호 및 특정 비예금상품 제조회사에 대한 집중 위험 등을 방지하기 위해 제조회사의 재무적 건전성 등 양적 요소와 상품 운용 및 리스크관리 능력 등 질적 요소를 정기적으로 평가하여 위원회에 보고하여야 하고</w:t>
      </w:r>
      <w:r>
        <w:rPr/>
        <w:t xml:space="preserve">, </w:t>
      </w:r>
      <w:r>
        <w:rPr/>
        <w:t>위원회의 평가결과를 상품기획ㆍ선정시 반영되도록 하여야 한다</w:t>
      </w:r>
      <w:r>
        <w:rPr/>
        <w:t>.</w:t>
      </w:r>
      <w:bookmarkEnd w:id="11"/>
      <w:bookmarkEnd w:id="13"/>
    </w:p>
    <w:p>
      <w:pPr>
        <w:pStyle w:val="Heading2"/>
        <w:rPr/>
      </w:pPr>
      <w:bookmarkStart w:id="14" w:name="제4장-상품판매"/>
      <w:r>
        <w:rPr/>
        <w:t>제</w:t>
      </w:r>
      <w:r>
        <w:rPr/>
        <w:t>4</w:t>
      </w:r>
      <w:r>
        <w:rPr/>
        <w:t>장 상품판매</w:t>
      </w:r>
    </w:p>
    <w:p>
      <w:pPr>
        <w:pStyle w:val="Heading3"/>
        <w:rPr/>
      </w:pPr>
      <w:bookmarkStart w:id="15" w:name="제11조일반원칙"/>
      <w:r>
        <w:rPr/>
        <w:t>제</w:t>
      </w:r>
      <w:r>
        <w:rPr/>
        <w:t>11</w:t>
      </w:r>
      <w:r>
        <w:rPr/>
        <w:t>조</w:t>
      </w:r>
      <w:r>
        <w:rPr/>
        <w:t>(</w:t>
      </w:r>
      <w:r>
        <w:rPr/>
        <w:t>일반원칙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은행은 비예금상품 판매시 관련법규에 따라 적합성 원칙</w:t>
      </w:r>
      <w:r>
        <w:rPr/>
        <w:t xml:space="preserve">, </w:t>
      </w:r>
      <w:r>
        <w:rPr/>
        <w:t>적정성 원칙</w:t>
      </w:r>
      <w:r>
        <w:rPr/>
        <w:t xml:space="preserve">, </w:t>
      </w:r>
      <w:r>
        <w:rPr/>
        <w:t>설명의무 등을 준수하여야 하며</w:t>
      </w:r>
      <w:r>
        <w:rPr/>
        <w:t xml:space="preserve">, </w:t>
      </w:r>
      <w:r>
        <w:rPr/>
        <w:t>상품판매시 관련법규를 위반하여 불완전판매가 발생하지 않도록 최선의 노력을 다하여야 한다</w:t>
      </w:r>
      <w:r>
        <w:rPr/>
        <w:t>.</w:t>
      </w:r>
    </w:p>
    <w:p>
      <w:pPr>
        <w:pStyle w:val="BodyText"/>
        <w:rPr/>
      </w:pPr>
      <w:r>
        <w:rPr/>
        <w:t xml:space="preserve">② </w:t>
      </w:r>
      <w:r>
        <w:rPr/>
        <w:t>은행은 비예금상품의 판매과정에서 은행 또는 임직원의 귀책사유로 고객에게 피해가 발생하는 경우에는 신속한 피해구제를 위해 최선의 노력을 다하여야 한다</w:t>
      </w:r>
      <w:r>
        <w:rPr/>
        <w:t>.</w:t>
      </w:r>
    </w:p>
    <w:p>
      <w:pPr>
        <w:pStyle w:val="BodyText"/>
        <w:rPr/>
      </w:pPr>
      <w:r>
        <w:rPr/>
        <w:t xml:space="preserve">③ </w:t>
      </w:r>
      <w:r>
        <w:rPr/>
        <w:t>이 지침에서 정하지 않는 상품 판매에 관한 사항은 관련법규를 따른다</w:t>
      </w:r>
      <w:r>
        <w:rPr/>
        <w:t>.</w:t>
      </w:r>
      <w:bookmarkEnd w:id="15"/>
    </w:p>
    <w:p>
      <w:pPr>
        <w:pStyle w:val="Heading3"/>
        <w:rPr/>
      </w:pPr>
      <w:bookmarkStart w:id="16" w:name="제12조투자-광고권유시-준수사항"/>
      <w:r>
        <w:rPr/>
        <w:t>제</w:t>
      </w:r>
      <w:r>
        <w:rPr/>
        <w:t>12</w:t>
      </w:r>
      <w:r>
        <w:rPr/>
        <w:t>조</w:t>
      </w:r>
      <w:r>
        <w:rPr/>
        <w:t>(</w:t>
      </w:r>
      <w:r>
        <w:rPr/>
        <w:t>투자 광고∙권유시 준수사항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상품담당부서는 비예금상품에 대한 광고</w:t>
      </w:r>
      <w:r>
        <w:rPr/>
        <w:t>(</w:t>
      </w:r>
      <w:r>
        <w:rPr/>
        <w:t>광고성 보도자료 포함</w:t>
      </w:r>
      <w:r>
        <w:rPr/>
        <w:t>)∙</w:t>
      </w:r>
      <w:r>
        <w:rPr/>
        <w:t>홍보시 준법감시인의 심의 절차를 준수하여야 하며</w:t>
      </w:r>
      <w:r>
        <w:rPr/>
        <w:t xml:space="preserve">, </w:t>
      </w:r>
      <w:r>
        <w:rPr/>
        <w:t>심의를 완료한 광고∙홍보자료에 대해 임직원 등이 수정한 경우에는 재심의를 받도록 하고 은행은 이를 위해 전산상 통제 방안 등 적절한 내부통제 장치를 마련하여야 한다</w:t>
      </w:r>
      <w:r>
        <w:rPr/>
        <w:t>.</w:t>
      </w:r>
    </w:p>
    <w:p>
      <w:pPr>
        <w:pStyle w:val="BodyText"/>
        <w:rPr/>
      </w:pPr>
      <w:r>
        <w:rPr/>
        <w:t xml:space="preserve">② </w:t>
      </w:r>
      <w:r>
        <w:rPr/>
        <w:t>상품담당부서는 고난도 금융상품에 대하여는 전화</w:t>
      </w:r>
      <w:r>
        <w:rPr/>
        <w:t xml:space="preserve">, </w:t>
      </w:r>
      <w:r>
        <w:rPr/>
        <w:t>팩스</w:t>
      </w:r>
      <w:r>
        <w:rPr/>
        <w:t xml:space="preserve">(FAX), </w:t>
      </w:r>
      <w:r>
        <w:rPr/>
        <w:t>이메일</w:t>
      </w:r>
      <w:r>
        <w:rPr/>
        <w:t xml:space="preserve">(E-mail), </w:t>
      </w:r>
      <w:r>
        <w:rPr/>
        <w:t>문자메시지 등 정보통신망을 통해 투자를 권유하여서는 아니 된다</w:t>
      </w:r>
      <w:r>
        <w:rPr/>
        <w:t>.</w:t>
      </w:r>
    </w:p>
    <w:p>
      <w:pPr>
        <w:pStyle w:val="BodyText"/>
        <w:rPr/>
      </w:pPr>
      <w:r>
        <w:rPr/>
        <w:t xml:space="preserve">③ </w:t>
      </w:r>
      <w:r>
        <w:rPr/>
        <w:t>상품담당부서는 객관적이고 합리적인 근거 없이 자사 홈페이지 및 광고 등을 통해 특정 비예금상품을 추천하여서는 아니 되며</w:t>
      </w:r>
      <w:r>
        <w:rPr/>
        <w:t xml:space="preserve">, </w:t>
      </w:r>
      <w:r>
        <w:rPr/>
        <w:t>자사 홈페이지 및 광고 등을 통해 특정 상품을 추천할 경우 그 근거를 광고문구 하단에 상세히 표시해야 한다</w:t>
      </w:r>
      <w:r>
        <w:rPr/>
        <w:t>.</w:t>
      </w:r>
    </w:p>
    <w:p>
      <w:pPr>
        <w:pStyle w:val="BodyText"/>
        <w:rPr/>
      </w:pPr>
      <w:r>
        <w:rPr/>
        <w:t xml:space="preserve">④ </w:t>
      </w:r>
      <w:r>
        <w:rPr/>
        <w:t xml:space="preserve">상품담당부서는 고객의 투자자성향을 분석하는 경우 투자자 정보를 최대 </w:t>
      </w:r>
      <w:r>
        <w:rPr/>
        <w:t>2</w:t>
      </w:r>
      <w:r>
        <w:rPr/>
        <w:t>년마다 갱신하여 상품 판매시마다 소비자에게 안내하고 서명</w:t>
      </w:r>
      <w:r>
        <w:rPr/>
        <w:t>(</w:t>
      </w:r>
      <w:r>
        <w:rPr/>
        <w:t>「전자서명법」에 따른 제</w:t>
      </w:r>
      <w:r>
        <w:rPr/>
        <w:t>2</w:t>
      </w:r>
      <w:r>
        <w:rPr/>
        <w:t>조제</w:t>
      </w:r>
      <w:r>
        <w:rPr/>
        <w:t>2</w:t>
      </w:r>
      <w:r>
        <w:rPr/>
        <w:t>항에 따른 전자서명을 포함한다</w:t>
      </w:r>
      <w:r>
        <w:rPr/>
        <w:t xml:space="preserve">) </w:t>
      </w:r>
      <w:r>
        <w:rPr/>
        <w:t>기명날인</w:t>
      </w:r>
      <w:r>
        <w:rPr/>
        <w:t xml:space="preserve">, </w:t>
      </w:r>
      <w:r>
        <w:rPr/>
        <w:t>녹취 등으로 소비자에게 확인을 받아야 한다</w:t>
      </w:r>
      <w:r>
        <w:rPr/>
        <w:t>.</w:t>
      </w:r>
    </w:p>
    <w:p>
      <w:pPr>
        <w:pStyle w:val="BodyText"/>
        <w:rPr/>
      </w:pPr>
      <w:r>
        <w:rPr/>
        <w:t xml:space="preserve">⑤ </w:t>
      </w:r>
      <w:r>
        <w:rPr/>
        <w:t>상품담당부서는 비예금상품 판매관련 전략을 수립하는 직원 또는 판매를 담당하는 직원이 관련법규가 정하는 자격요건을 갖추도록 하여야 하고</w:t>
      </w:r>
      <w:r>
        <w:rPr/>
        <w:t xml:space="preserve">, </w:t>
      </w:r>
      <w:r>
        <w:rPr/>
        <w:t>이를 세부지침</w:t>
      </w:r>
      <w:r>
        <w:rPr/>
        <w:t>(</w:t>
      </w:r>
      <w:r>
        <w:rPr/>
        <w:t>기준 포함</w:t>
      </w:r>
      <w:r>
        <w:rPr/>
        <w:t>)</w:t>
      </w:r>
      <w:r>
        <w:rPr/>
        <w:t>에 반영하여야 한다</w:t>
      </w:r>
      <w:r>
        <w:rPr/>
        <w:t>.</w:t>
      </w:r>
    </w:p>
    <w:p>
      <w:pPr>
        <w:pStyle w:val="BodyText"/>
        <w:rPr/>
      </w:pPr>
      <w:r>
        <w:rPr/>
        <w:t xml:space="preserve">⑥ </w:t>
      </w:r>
      <w:r>
        <w:rPr/>
        <w:t>상품담당부서는 판매자격이 없는 직원이 판매자격이 있는 자의 전산상 아이디 등을 도용 또는 제공받아 상품을 판매하지 않도록 전산상 통제방안 등 적절한 내부통제시스템을 구축하여야 한다</w:t>
      </w:r>
      <w:r>
        <w:rPr/>
        <w:t>.</w:t>
      </w:r>
    </w:p>
    <w:p>
      <w:pPr>
        <w:pStyle w:val="BodyText"/>
        <w:rPr/>
      </w:pPr>
      <w:r>
        <w:rPr/>
        <w:t xml:space="preserve">⑦ </w:t>
      </w:r>
      <w:r>
        <w:rPr/>
        <w:t>상품담당부서는 비예금상품을 일반 영업점에서 판매하는 경우 명찰을 패용하거나 담당창구에 표식을 설치하거나 판매 전담창구를 설치하는 방법을 통해 비예금상품 판매 담당 임직원임을 고객이 쉽게 알 수 있도록 하여야 한다</w:t>
      </w:r>
      <w:r>
        <w:rPr/>
        <w:t>.</w:t>
      </w:r>
      <w:bookmarkEnd w:id="16"/>
    </w:p>
    <w:p>
      <w:pPr>
        <w:pStyle w:val="Heading3"/>
        <w:rPr/>
      </w:pPr>
      <w:bookmarkStart w:id="17" w:name="제13조상품설명시-준수사항"/>
      <w:r>
        <w:rPr/>
        <w:t>제</w:t>
      </w:r>
      <w:r>
        <w:rPr/>
        <w:t>13</w:t>
      </w:r>
      <w:r>
        <w:rPr/>
        <w:t>조</w:t>
      </w:r>
      <w:r>
        <w:rPr/>
        <w:t>(</w:t>
      </w:r>
      <w:r>
        <w:rPr/>
        <w:t>상품설명시 준수사항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상품담당부서는 투자설명서</w:t>
      </w:r>
      <w:r>
        <w:rPr/>
        <w:t xml:space="preserve">, </w:t>
      </w:r>
      <w:r>
        <w:rPr/>
        <w:t>비예금상품 신청서</w:t>
      </w:r>
      <w:r>
        <w:rPr/>
        <w:t xml:space="preserve">, </w:t>
      </w:r>
      <w:r>
        <w:rPr/>
        <w:t>핵심설명서</w:t>
      </w:r>
      <w:r>
        <w:rPr/>
        <w:t xml:space="preserve">, </w:t>
      </w:r>
      <w:r>
        <w:rPr/>
        <w:t>약관 등 명칭을 불문하고 고객에게 안내∙설명∙교부하는 비예금상품 판매와 관련된 모든 서류</w:t>
      </w:r>
      <w:r>
        <w:rPr/>
        <w:t>(</w:t>
      </w:r>
      <w:r>
        <w:rPr/>
        <w:t>온라인을 포함한다</w:t>
      </w:r>
      <w:r>
        <w:rPr/>
        <w:t>)</w:t>
      </w:r>
      <w:r>
        <w:rPr/>
        <w:t>와 자 사 홈페이지 및 광고문의 상단에 해당 상품이 “원금손실이 발생할 수 있는 상품”임을 고객 이 쉽게 알 수 있도록 명확히 표시하여야 한다</w:t>
      </w:r>
      <w:r>
        <w:rPr/>
        <w:t>.</w:t>
      </w:r>
    </w:p>
    <w:p>
      <w:pPr>
        <w:pStyle w:val="BodyText"/>
        <w:rPr/>
      </w:pPr>
      <w:r>
        <w:rPr/>
        <w:t xml:space="preserve">② </w:t>
      </w:r>
      <w:r>
        <w:rPr/>
        <w:t>상품담당부서는 비예금상품 판매와 관련하여 고객에게 교부하는 경우 상품설명서에 대하여준법감시인의 사전확인을 받아야 한다</w:t>
      </w:r>
      <w:r>
        <w:rPr/>
        <w:t>.</w:t>
      </w:r>
    </w:p>
    <w:p>
      <w:pPr>
        <w:pStyle w:val="BodyText"/>
        <w:rPr/>
      </w:pPr>
      <w:r>
        <w:rPr/>
        <w:t xml:space="preserve">③ </w:t>
      </w:r>
      <w:r>
        <w:rPr/>
        <w:t>상품담당부서는 비예금상품의 광고ㆍ홍보 또는 투자권유시 해당 상품의 과거 수익률 또는 기대수익률을 활용하는 경우 과거 수익률이 미래의 수익률을 의미하지 않으며</w:t>
      </w:r>
      <w:r>
        <w:rPr/>
        <w:t xml:space="preserve">, </w:t>
      </w:r>
      <w:r>
        <w:rPr/>
        <w:t>기대수익률 은 확률에 의한 것으로 사전에 정해진 모든 조건이 우호적으로 진행될 경우에만 실현되는 수익률이라는 것을 명확히 표시하여야 한다</w:t>
      </w:r>
      <w:r>
        <w:rPr/>
        <w:t>.</w:t>
      </w:r>
    </w:p>
    <w:p>
      <w:pPr>
        <w:pStyle w:val="BodyText"/>
        <w:rPr/>
      </w:pPr>
      <w:r>
        <w:rPr/>
        <w:t xml:space="preserve">④ </w:t>
      </w:r>
      <w:r>
        <w:rPr/>
        <w:t>상품담당부서는 고객이 상품의 위험성 및 상품구조</w:t>
      </w:r>
      <w:r>
        <w:rPr/>
        <w:t xml:space="preserve">, </w:t>
      </w:r>
      <w:r>
        <w:rPr/>
        <w:t>투자처 등을 쉽게 이해할 수 있도록 투자설명서 및 약관 등에 알기 쉬운 용어를 사용하고</w:t>
      </w:r>
      <w:r>
        <w:rPr/>
        <w:t xml:space="preserve">, </w:t>
      </w:r>
      <w:r>
        <w:rPr/>
        <w:t>거래의 중요한 내용을 부호</w:t>
      </w:r>
      <w:r>
        <w:rPr/>
        <w:t xml:space="preserve">, </w:t>
      </w:r>
      <w:r>
        <w:rPr/>
        <w:t>눈에 띄는 색채</w:t>
      </w:r>
      <w:r>
        <w:rPr/>
        <w:t xml:space="preserve">, </w:t>
      </w:r>
      <w:r>
        <w:rPr/>
        <w:t>굵고 큰 문자 등으로 두드러지게 표시하며 다양한 도표 및 그래프를 활용하여 고객이 상황에 따른 손실발생 정도 및 최대 손실가능금액을 쉽게 알 수 있도록 하여야 한다</w:t>
      </w:r>
      <w:r>
        <w:rPr/>
        <w:t>.</w:t>
      </w:r>
    </w:p>
    <w:p>
      <w:pPr>
        <w:pStyle w:val="BodyText"/>
        <w:rPr/>
      </w:pPr>
      <w:r>
        <w:rPr/>
        <w:t xml:space="preserve">⑤ </w:t>
      </w:r>
      <w:r>
        <w:rPr/>
        <w:t>상품담당부서는 비예금상품 판매시 예금과 비교하여 원금보장 여부</w:t>
      </w:r>
      <w:r>
        <w:rPr/>
        <w:t xml:space="preserve">, </w:t>
      </w:r>
      <w:r>
        <w:rPr/>
        <w:t>예금자보호법 적용 여부 등을 고객이 명확히 알 수 있도록 투자자 확인서 또는 설명서 등에 반영하여 고객에게 설명하고 교부되도록 하여야 한다</w:t>
      </w:r>
      <w:r>
        <w:rPr/>
        <w:t>.</w:t>
      </w:r>
      <w:bookmarkEnd w:id="17"/>
    </w:p>
    <w:p>
      <w:pPr>
        <w:pStyle w:val="Heading3"/>
        <w:rPr/>
      </w:pPr>
      <w:bookmarkStart w:id="18" w:name="제14조투자자-보호장치-운영"/>
      <w:r>
        <w:rPr/>
        <w:t>제</w:t>
      </w:r>
      <w:r>
        <w:rPr/>
        <w:t>14</w:t>
      </w:r>
      <w:r>
        <w:rPr/>
        <w:t>조</w:t>
      </w:r>
      <w:r>
        <w:rPr/>
        <w:t>(</w:t>
      </w:r>
      <w:r>
        <w:rPr/>
        <w:t>투자자 보호장치 운영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상품담당부서는 고난도 금융상품 판매시나 부적합 투자자 또는 고령자</w:t>
      </w:r>
      <w:r>
        <w:rPr/>
        <w:t>(</w:t>
      </w:r>
      <w:r>
        <w:rPr/>
        <w:t xml:space="preserve">만 </w:t>
      </w:r>
      <w:r>
        <w:rPr/>
        <w:t>65</w:t>
      </w:r>
      <w:r>
        <w:rPr/>
        <w:t>세 이상</w:t>
      </w:r>
      <w:r>
        <w:rPr/>
        <w:t>)</w:t>
      </w:r>
      <w:r>
        <w:rPr/>
        <w:t>에 대한 비예금상품 판매시 판매과정을 녹취</w:t>
      </w:r>
      <w:r>
        <w:rPr/>
        <w:t>(</w:t>
      </w:r>
      <w:r>
        <w:rPr/>
        <w:t>비대면 판매의 경우 판매과정을 저장하는 것을 포함한다</w:t>
      </w:r>
      <w:r>
        <w:rPr/>
        <w:t>)</w:t>
      </w:r>
      <w:r>
        <w:rPr/>
        <w:t>해야 한다</w:t>
      </w:r>
      <w:r>
        <w:rPr/>
        <w:t>(</w:t>
      </w:r>
      <w:r>
        <w:rPr/>
        <w:t>고령자의 경우는 투자자성향 파악시부터 녹취해야 한다</w:t>
      </w:r>
      <w:r>
        <w:rPr/>
        <w:t xml:space="preserve">). </w:t>
      </w:r>
      <w:r>
        <w:rPr/>
        <w:t>이 경우 은행은 녹취가 정상적으로 이루어졌는지 여부 및 녹취품질 등을 주기적으로 점검하여야 한다</w:t>
      </w:r>
      <w:r>
        <w:rPr/>
        <w:t>.</w:t>
      </w:r>
    </w:p>
    <w:p>
      <w:pPr>
        <w:pStyle w:val="BodyText"/>
        <w:rPr/>
      </w:pPr>
      <w:r>
        <w:rPr/>
        <w:t xml:space="preserve">② </w:t>
      </w:r>
      <w:r>
        <w:rPr/>
        <w:t>상품담당부서는 비예금상품을 판매</w:t>
      </w:r>
      <w:r>
        <w:rPr/>
        <w:t>(</w:t>
      </w:r>
      <w:r>
        <w:rPr/>
        <w:t>제</w:t>
      </w:r>
      <w:r>
        <w:rPr/>
        <w:t>8</w:t>
      </w:r>
      <w:r>
        <w:rPr/>
        <w:t>조제</w:t>
      </w:r>
      <w:r>
        <w:rPr/>
        <w:t>2</w:t>
      </w:r>
      <w:r>
        <w:rPr/>
        <w:t>항에 따라 위원회가 선정한 상품을 비대면 판 매하는 경우를 포함한다</w:t>
      </w:r>
      <w:r>
        <w:rPr/>
        <w:t>)</w:t>
      </w:r>
      <w:r>
        <w:rPr/>
        <w:t xml:space="preserve">한 후 </w:t>
      </w:r>
      <w:r>
        <w:rPr/>
        <w:t>7</w:t>
      </w:r>
      <w:r>
        <w:rPr/>
        <w:t>영업일까지 고객에 대해 상품 설명이 제대로 이루어졌는지 유선 또는 온라인방법</w:t>
      </w:r>
      <w:r>
        <w:rPr/>
        <w:t>(</w:t>
      </w:r>
      <w:r>
        <w:rPr/>
        <w:t>이하 “해피콜”이라 한다</w:t>
      </w:r>
      <w:r>
        <w:rPr/>
        <w:t>)</w:t>
      </w:r>
      <w:r>
        <w:rPr/>
        <w:t>을 통해 고객으로부터 확인 받아야 한다</w:t>
      </w:r>
      <w:r>
        <w:rPr/>
        <w:t xml:space="preserve">. </w:t>
      </w:r>
      <w:r>
        <w:rPr/>
        <w:t>다만</w:t>
      </w:r>
      <w:r>
        <w:rPr/>
        <w:t xml:space="preserve">, </w:t>
      </w:r>
      <w:r>
        <w:rPr/>
        <w:t>보험상품 등 제조회사가 직접 해피콜을 하는 경우에는 제조회사의 해피콜로 대신하되</w:t>
      </w:r>
      <w:r>
        <w:rPr/>
        <w:t xml:space="preserve">, </w:t>
      </w:r>
      <w:r>
        <w:rPr/>
        <w:t>그 결과를 정기적으로 받아서 점검해야 한다</w:t>
      </w:r>
      <w:r>
        <w:rPr/>
        <w:t xml:space="preserve">. </w:t>
      </w:r>
      <w:r>
        <w:rPr/>
        <w:t>그 외 해피콜 운영과 관련해서는 「금융 투자회사 해피콜 운영 가이드라인」등을 참고하여 정한다</w:t>
      </w:r>
      <w:r>
        <w:rPr/>
        <w:t>.</w:t>
      </w:r>
    </w:p>
    <w:p>
      <w:pPr>
        <w:pStyle w:val="BodyText"/>
        <w:rPr/>
      </w:pPr>
      <w:r>
        <w:rPr/>
        <w:t xml:space="preserve">③ </w:t>
      </w:r>
      <w:r>
        <w:rPr/>
        <w:t>상품담당부서는 녹취제도</w:t>
      </w:r>
      <w:r>
        <w:rPr/>
        <w:t xml:space="preserve">, </w:t>
      </w:r>
      <w:r>
        <w:rPr/>
        <w:t>해피콜 등 투자자 보호에 필요한 세부지침</w:t>
      </w:r>
      <w:r>
        <w:rPr/>
        <w:t>(</w:t>
      </w:r>
      <w:r>
        <w:rPr/>
        <w:t>기준 포함</w:t>
      </w:r>
      <w:r>
        <w:rPr/>
        <w:t>)</w:t>
      </w:r>
      <w:r>
        <w:rPr/>
        <w:t>을 마련해야 하고</w:t>
      </w:r>
      <w:r>
        <w:rPr/>
        <w:t xml:space="preserve">, </w:t>
      </w:r>
      <w:r>
        <w:rPr/>
        <w:t>소비자보호가 필요한 경우 손해배상 등의 소비자 구제절차를 진행해야 한다</w:t>
      </w:r>
      <w:r>
        <w:rPr/>
        <w:t>.</w:t>
      </w:r>
    </w:p>
    <w:p>
      <w:pPr>
        <w:pStyle w:val="BodyText"/>
        <w:rPr/>
      </w:pPr>
      <w:r>
        <w:rPr/>
        <w:t xml:space="preserve">④ </w:t>
      </w:r>
      <w:r>
        <w:rPr/>
        <w:t>상품담당부서는 특정 비예금상품의 고객이 민원 등을 통해 부당권유</w:t>
      </w:r>
      <w:r>
        <w:rPr/>
        <w:t xml:space="preserve">, </w:t>
      </w:r>
      <w:r>
        <w:rPr/>
        <w:t>설명의무 위반 등의 불완전판매를 주장하거나</w:t>
      </w:r>
      <w:r>
        <w:rPr/>
        <w:t xml:space="preserve">, </w:t>
      </w:r>
      <w:r>
        <w:rPr/>
        <w:t>자체 점검 등을 통해 불완전판매 사례가 확인되는 경우</w:t>
      </w:r>
      <w:r>
        <w:rPr/>
        <w:t xml:space="preserve">, </w:t>
      </w:r>
      <w:r>
        <w:rPr/>
        <w:t>사실관계 조사 및 고객의 동의 등을 거쳐 상품 가입을 취소하고 고객에게 상품가입 자금을 반환 하는 제도</w:t>
      </w:r>
      <w:r>
        <w:rPr/>
        <w:t>(</w:t>
      </w:r>
      <w:r>
        <w:rPr/>
        <w:t>이하 ‘금융상품 리콜제도’라고 한다</w:t>
      </w:r>
      <w:r>
        <w:rPr/>
        <w:t>)</w:t>
      </w:r>
      <w:r>
        <w:rPr/>
        <w:t>를 운영할 수 있다</w:t>
      </w:r>
      <w:r>
        <w:rPr/>
        <w:t>.</w:t>
      </w:r>
      <w:bookmarkEnd w:id="14"/>
      <w:bookmarkEnd w:id="18"/>
    </w:p>
    <w:p>
      <w:pPr>
        <w:pStyle w:val="Heading2"/>
        <w:rPr/>
      </w:pPr>
      <w:bookmarkStart w:id="19" w:name="제5장-사후관리"/>
      <w:r>
        <w:rPr/>
        <w:t>제</w:t>
      </w:r>
      <w:r>
        <w:rPr/>
        <w:t>5</w:t>
      </w:r>
      <w:r>
        <w:rPr/>
        <w:t>장 사후관리</w:t>
      </w:r>
    </w:p>
    <w:p>
      <w:pPr>
        <w:pStyle w:val="Heading3"/>
        <w:rPr/>
      </w:pPr>
      <w:bookmarkStart w:id="20" w:name="제15조판매-후-모니터링"/>
      <w:r>
        <w:rPr/>
        <w:t>제</w:t>
      </w:r>
      <w:r>
        <w:rPr/>
        <w:t>15</w:t>
      </w:r>
      <w:r>
        <w:rPr/>
        <w:t>조</w:t>
      </w:r>
      <w:r>
        <w:rPr/>
        <w:t>(</w:t>
      </w:r>
      <w:r>
        <w:rPr/>
        <w:t>판매 후 모니터링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은행은 비예금상품 상품담당부서와 독립부서</w:t>
      </w:r>
      <w:r>
        <w:rPr/>
        <w:t>(</w:t>
      </w:r>
      <w:r>
        <w:rPr/>
        <w:t>금융소비자보호부</w:t>
      </w:r>
      <w:r>
        <w:rPr/>
        <w:t xml:space="preserve">, </w:t>
      </w:r>
      <w:r>
        <w:rPr/>
        <w:t>리스크관리부</w:t>
      </w:r>
      <w:r>
        <w:rPr/>
        <w:t>)</w:t>
      </w:r>
      <w:r>
        <w:rPr/>
        <w:t>를 판매 후 모니터링 담당부서로 지정하고</w:t>
      </w:r>
      <w:r>
        <w:rPr/>
        <w:t xml:space="preserve">, </w:t>
      </w:r>
      <w:r>
        <w:rPr/>
        <w:t>모니터링은 상품담당부서</w:t>
      </w:r>
      <w:r>
        <w:rPr/>
        <w:t xml:space="preserve">, </w:t>
      </w:r>
      <w:r>
        <w:rPr/>
        <w:t>독립부서 순서로 실시한다</w:t>
      </w:r>
      <w:r>
        <w:rPr/>
        <w:t xml:space="preserve">. </w:t>
      </w:r>
      <w:r>
        <w:rPr/>
        <w:t>각 부서는 비예금상품 판매 후 실적 등 현황</w:t>
      </w:r>
      <w:r>
        <w:rPr/>
        <w:t xml:space="preserve">, </w:t>
      </w:r>
      <w:r>
        <w:rPr/>
        <w:t>실제상품선정 내역</w:t>
      </w:r>
      <w:r>
        <w:rPr/>
        <w:t xml:space="preserve">, </w:t>
      </w:r>
      <w:r>
        <w:rPr/>
        <w:t>판매한도 준수 여부</w:t>
      </w:r>
      <w:r>
        <w:rPr/>
        <w:t xml:space="preserve">, </w:t>
      </w:r>
      <w:r>
        <w:rPr/>
        <w:t>투자자손익</w:t>
      </w:r>
      <w:r>
        <w:rPr/>
        <w:t xml:space="preserve">, </w:t>
      </w:r>
      <w:r>
        <w:rPr/>
        <w:t>상품별 평가손익 추이</w:t>
      </w:r>
      <w:r>
        <w:rPr/>
        <w:t xml:space="preserve">, </w:t>
      </w:r>
      <w:r>
        <w:rPr/>
        <w:t>제조회사의 투자전략 및 운용방법 변동 여부</w:t>
      </w:r>
      <w:r>
        <w:rPr/>
        <w:t xml:space="preserve">, </w:t>
      </w:r>
      <w:r>
        <w:rPr/>
        <w:t>환매연기</w:t>
      </w:r>
      <w:r>
        <w:rPr/>
        <w:t xml:space="preserve">, </w:t>
      </w:r>
      <w:r>
        <w:rPr/>
        <w:t>소송발생</w:t>
      </w:r>
      <w:r>
        <w:rPr/>
        <w:t xml:space="preserve">, </w:t>
      </w:r>
      <w:r>
        <w:rPr/>
        <w:t>민원</w:t>
      </w:r>
      <w:r>
        <w:rPr/>
        <w:t>·</w:t>
      </w:r>
      <w:r>
        <w:rPr/>
        <w:t>분쟁발생 현황</w:t>
      </w:r>
      <w:r>
        <w:rPr/>
        <w:t xml:space="preserve">, </w:t>
      </w:r>
      <w:r>
        <w:rPr/>
        <w:t>급격한 시장현황 변동 등 판매상품에 영향을 주는 중요사항을 정기 또는 수시로 분석하고 모니터링 하여야 한다</w:t>
      </w:r>
      <w:r>
        <w:rPr/>
        <w:t>. (</w:t>
      </w:r>
      <w:r>
        <w:rPr/>
        <w:t>단</w:t>
      </w:r>
      <w:r>
        <w:rPr/>
        <w:t xml:space="preserve">, </w:t>
      </w:r>
      <w:r>
        <w:rPr/>
        <w:t>고난도 금융상품에 대한 모니터링은 매월 실시하여야 한다</w:t>
      </w:r>
      <w:r>
        <w:rPr/>
        <w:t>.)</w:t>
      </w:r>
    </w:p>
    <w:p>
      <w:pPr>
        <w:pStyle w:val="BodyText"/>
        <w:rPr/>
      </w:pPr>
      <w:r>
        <w:rPr/>
        <w:t xml:space="preserve">② </w:t>
      </w:r>
      <w:r>
        <w:rPr/>
        <w:t>제</w:t>
      </w:r>
      <w:r>
        <w:rPr/>
        <w:t>1</w:t>
      </w:r>
      <w:r>
        <w:rPr/>
        <w:t>항에 따른 분석 및 모니터링 결과는 위원회에서 심의하고 위원회는 이를 정기적으로 은행장 및 이사회 또는 감사위원회에 보고하여야 한다</w:t>
      </w:r>
      <w:r>
        <w:rPr/>
        <w:t>.</w:t>
      </w:r>
    </w:p>
    <w:p>
      <w:pPr>
        <w:pStyle w:val="BodyText"/>
        <w:rPr/>
      </w:pPr>
      <w:r>
        <w:rPr/>
        <w:t xml:space="preserve">③ </w:t>
      </w:r>
      <w:r>
        <w:rPr/>
        <w:t>판매 후 모니터링 과정에서 고객의 피해 발생이 우려되거나 피해가 발생한 경우 또는 해당 상품과 관련하여 민원 및 불완전판매 사례가 다수 발생한 경우 등 중대한 사안이 발생한 경우 위원회는 적절한 대응방안을 마련하여 조치한다</w:t>
      </w:r>
      <w:r>
        <w:rPr/>
        <w:t>.</w:t>
      </w:r>
      <w:bookmarkEnd w:id="20"/>
    </w:p>
    <w:p>
      <w:pPr>
        <w:pStyle w:val="Heading3"/>
        <w:rPr/>
      </w:pPr>
      <w:bookmarkStart w:id="21" w:name="제16조준법감시인-등의-역할"/>
      <w:r>
        <w:rPr/>
        <w:t>제</w:t>
      </w:r>
      <w:r>
        <w:rPr/>
        <w:t>16</w:t>
      </w:r>
      <w:r>
        <w:rPr/>
        <w:t>조</w:t>
      </w:r>
      <w:r>
        <w:rPr/>
        <w:t>(</w:t>
      </w:r>
      <w:r>
        <w:rPr/>
        <w:t>준법감시인 등의 역할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준법감시인은 각 영업점의 비예금상품 판매 관련 업무가 이 지침 및 관련법규에 따라 적정하게 처리되고 있는지 여부를 해당 영업점장 책임하에 자체적으로 감사</w:t>
      </w:r>
      <w:r>
        <w:rPr/>
        <w:t>(</w:t>
      </w:r>
      <w:r>
        <w:rPr/>
        <w:t>이하 ‘자점감사’라 한다</w:t>
      </w:r>
      <w:r>
        <w:rPr/>
        <w:t>)</w:t>
      </w:r>
      <w:r>
        <w:rPr/>
        <w:t>토록 하여야 한다</w:t>
      </w:r>
      <w:r>
        <w:rPr/>
        <w:t>.</w:t>
      </w:r>
    </w:p>
    <w:p>
      <w:pPr>
        <w:pStyle w:val="BodyText"/>
        <w:rPr/>
      </w:pPr>
      <w:r>
        <w:rPr/>
        <w:t xml:space="preserve">② </w:t>
      </w:r>
      <w:r>
        <w:rPr/>
        <w:t>제</w:t>
      </w:r>
      <w:r>
        <w:rPr/>
        <w:t>1</w:t>
      </w:r>
      <w:r>
        <w:rPr/>
        <w:t>항에 따른 자점감사의 방법</w:t>
      </w:r>
      <w:r>
        <w:rPr/>
        <w:t xml:space="preserve">, </w:t>
      </w:r>
      <w:r>
        <w:rPr/>
        <w:t>판매서류의 검증 등 자점감사시 확인사항</w:t>
      </w:r>
      <w:r>
        <w:rPr/>
        <w:t xml:space="preserve">, </w:t>
      </w:r>
      <w:r>
        <w:rPr/>
        <w:t>실시 주기 및 보고 절차</w:t>
      </w:r>
      <w:r>
        <w:rPr/>
        <w:t xml:space="preserve">, </w:t>
      </w:r>
      <w:r>
        <w:rPr/>
        <w:t>위규사실 확인시 조치사항 등에 관한 사항은 「영업점 자점감사요령」에서 정한다</w:t>
      </w:r>
      <w:r>
        <w:rPr/>
        <w:t>.</w:t>
      </w:r>
    </w:p>
    <w:p>
      <w:pPr>
        <w:pStyle w:val="BodyText"/>
        <w:rPr/>
      </w:pPr>
      <w:r>
        <w:rPr/>
        <w:t xml:space="preserve">③ </w:t>
      </w:r>
      <w:r>
        <w:rPr/>
        <w:t>준법감시인은 제</w:t>
      </w:r>
      <w:r>
        <w:rPr/>
        <w:t>1</w:t>
      </w:r>
      <w:r>
        <w:rPr/>
        <w:t>항에 따른 자점감사 결과 및 처리의 적정성을 주기적으로 점검하고 그 결과를 은행장에게 보고하여야 한다</w:t>
      </w:r>
      <w:r>
        <w:rPr/>
        <w:t>.</w:t>
      </w:r>
    </w:p>
    <w:p>
      <w:pPr>
        <w:pStyle w:val="BodyText"/>
        <w:rPr/>
      </w:pPr>
      <w:r>
        <w:rPr/>
        <w:t xml:space="preserve">④ </w:t>
      </w:r>
      <w:r>
        <w:rPr/>
        <w:t>준법감시인은 이 지침에 따른 상품 기획ㆍ선정</w:t>
      </w:r>
      <w:r>
        <w:rPr/>
        <w:t xml:space="preserve">, </w:t>
      </w:r>
      <w:r>
        <w:rPr/>
        <w:t>상품판매</w:t>
      </w:r>
      <w:r>
        <w:rPr/>
        <w:t xml:space="preserve">, </w:t>
      </w:r>
      <w:r>
        <w:rPr/>
        <w:t>판매 후 사후관리 등의 내부통제 체계가 실효성 있게 운영되고 제대로 작동하는지 주기적으로 점검하고 필요한 경우 내부통 제기준을 변경하는 등 관련법규에 따른 역할을 충실히 수행해야 하며</w:t>
      </w:r>
      <w:r>
        <w:rPr/>
        <w:t xml:space="preserve">, </w:t>
      </w:r>
      <w:r>
        <w:rPr/>
        <w:t>그 결과를 은행장 및 이사회에 보고하여야 한다</w:t>
      </w:r>
      <w:r>
        <w:rPr/>
        <w:t>.</w:t>
      </w:r>
    </w:p>
    <w:p>
      <w:pPr>
        <w:pStyle w:val="BodyText"/>
        <w:rPr/>
      </w:pPr>
      <w:r>
        <w:rPr/>
        <w:t xml:space="preserve">⑤ </w:t>
      </w:r>
      <w:r>
        <w:rPr/>
        <w:t>은행은 비예금상품 판매관련 업무가 이 지침 및 관련법규에 따라 적정하게 처리되고 있는지 여부에 대해 준법감시부 및 검사부의 직원이 점검하는 체계와 기준을 마련하여야 하며</w:t>
      </w:r>
      <w:r>
        <w:rPr/>
        <w:t xml:space="preserve">, </w:t>
      </w:r>
      <w:r>
        <w:rPr/>
        <w:t>이 경우 은행은 관련법규 등의 위반시 관련 직원 등에 대한 제재기준도 마련하여야 한다</w:t>
      </w:r>
      <w:r>
        <w:rPr/>
        <w:t>.</w:t>
      </w:r>
      <w:bookmarkEnd w:id="21"/>
    </w:p>
    <w:p>
      <w:pPr>
        <w:pStyle w:val="Heading3"/>
        <w:rPr/>
      </w:pPr>
      <w:bookmarkStart w:id="22" w:name="제17조고객에-대한-정보제공"/>
      <w:r>
        <w:rPr/>
        <w:t>제</w:t>
      </w:r>
      <w:r>
        <w:rPr/>
        <w:t>17</w:t>
      </w:r>
      <w:r>
        <w:rPr/>
        <w:t>조</w:t>
      </w:r>
      <w:r>
        <w:rPr/>
        <w:t>(</w:t>
      </w:r>
      <w:r>
        <w:rPr/>
        <w:t>고객에 대한 정보제공</w:t>
      </w:r>
      <w:r>
        <w:rPr/>
        <w:t>)</w:t>
      </w:r>
    </w:p>
    <w:p>
      <w:pPr>
        <w:pStyle w:val="FirstParagraph"/>
        <w:rPr/>
      </w:pPr>
      <w:r>
        <w:rPr/>
        <w:t>상품담당부서는 비예금상품의 특성을 감안하여 상품 손익상황</w:t>
      </w:r>
      <w:r>
        <w:rPr/>
        <w:t xml:space="preserve">, </w:t>
      </w:r>
      <w:r>
        <w:rPr/>
        <w:t>상품의 리스크 현황</w:t>
      </w:r>
      <w:r>
        <w:rPr/>
        <w:t xml:space="preserve">, </w:t>
      </w:r>
      <w:r>
        <w:rPr/>
        <w:t>상품관련 시장상황 등에 대한 정보를 고객에게 정례적으로 제공해야 하며</w:t>
      </w:r>
      <w:r>
        <w:rPr/>
        <w:t xml:space="preserve">, </w:t>
      </w:r>
      <w:r>
        <w:rPr/>
        <w:t>제공대상 정보의 범위나 방 법에 대해서는 관련 법규와 정보의 성격을 감안하여 위원회가 결정한다</w:t>
      </w:r>
      <w:r>
        <w:rPr/>
        <w:t>.</w:t>
      </w:r>
      <w:bookmarkEnd w:id="22"/>
    </w:p>
    <w:p>
      <w:pPr>
        <w:pStyle w:val="Heading3"/>
        <w:rPr/>
      </w:pPr>
      <w:bookmarkStart w:id="23" w:name="제18조시스템-구축"/>
      <w:r>
        <w:rPr/>
        <w:t>제</w:t>
      </w:r>
      <w:r>
        <w:rPr/>
        <w:t>18</w:t>
      </w:r>
      <w:r>
        <w:rPr/>
        <w:t>조</w:t>
      </w:r>
      <w:r>
        <w:rPr/>
        <w:t>(</w:t>
      </w:r>
      <w:r>
        <w:rPr/>
        <w:t>시스템 구축</w:t>
      </w:r>
      <w:r>
        <w:rPr/>
        <w:t>)</w:t>
      </w:r>
    </w:p>
    <w:p>
      <w:pPr>
        <w:pStyle w:val="FirstParagraph"/>
        <w:rPr/>
      </w:pPr>
      <w:r>
        <w:rPr/>
        <w:t>상품담당부서는 비예금상품의 기획∙선정</w:t>
      </w:r>
      <w:r>
        <w:rPr/>
        <w:t xml:space="preserve">, </w:t>
      </w:r>
      <w:r>
        <w:rPr/>
        <w:t>판매 및 판매 후 사후관리</w:t>
      </w:r>
      <w:r>
        <w:rPr/>
        <w:t xml:space="preserve">, </w:t>
      </w:r>
      <w:r>
        <w:rPr/>
        <w:t>위험 조기경보 등 비예금 상품 판매와 관련한 모든 현황을 쉽게 확인∙점검할 수 있는 전산상 통합관리시스템을 구축∙운 영한다</w:t>
      </w:r>
      <w:r>
        <w:rPr/>
        <w:t>.</w:t>
      </w:r>
      <w:bookmarkEnd w:id="19"/>
      <w:bookmarkEnd w:id="23"/>
    </w:p>
    <w:p>
      <w:pPr>
        <w:pStyle w:val="Heading2"/>
        <w:rPr/>
      </w:pPr>
      <w:bookmarkStart w:id="24" w:name="제6장-성과평가kpi"/>
      <w:r>
        <w:rPr/>
        <w:t>제</w:t>
      </w:r>
      <w:r>
        <w:rPr/>
        <w:t>6</w:t>
      </w:r>
      <w:r>
        <w:rPr/>
        <w:t>장 성과평가</w:t>
      </w:r>
      <w:r>
        <w:rPr/>
        <w:t>(KPI)</w:t>
      </w:r>
    </w:p>
    <w:p>
      <w:pPr>
        <w:pStyle w:val="Heading3"/>
        <w:rPr/>
      </w:pPr>
      <w:bookmarkStart w:id="25" w:name="제19조일반원칙"/>
      <w:r>
        <w:rPr/>
        <w:t>제</w:t>
      </w:r>
      <w:r>
        <w:rPr/>
        <w:t>19</w:t>
      </w:r>
      <w:r>
        <w:rPr/>
        <w:t>조</w:t>
      </w:r>
      <w:r>
        <w:rPr/>
        <w:t>(</w:t>
      </w:r>
      <w:r>
        <w:rPr/>
        <w:t>일반원칙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비예금상품 판매와 관련하여 본점 부서 및 영업점에 대한 성과평가 시 고객만족도 및 내부통제 항목을 중요하게 반영하는 등 단기 영업실적 보다 고객 보호 관점에서 균형있는 성과평가지표</w:t>
      </w:r>
      <w:r>
        <w:rPr/>
        <w:t>(KPI)</w:t>
      </w:r>
      <w:r>
        <w:rPr/>
        <w:t>가 운영되도록 하여야 한다</w:t>
      </w:r>
      <w:r>
        <w:rPr/>
        <w:t>.</w:t>
      </w:r>
    </w:p>
    <w:p>
      <w:pPr>
        <w:pStyle w:val="BodyText"/>
        <w:rPr/>
      </w:pPr>
      <w:r>
        <w:rPr/>
        <w:t xml:space="preserve">② </w:t>
      </w:r>
      <w:r>
        <w:rPr/>
        <w:t>성과평가지표</w:t>
      </w:r>
      <w:r>
        <w:rPr/>
        <w:t xml:space="preserve">(KPI) </w:t>
      </w:r>
      <w:r>
        <w:rPr/>
        <w:t>체계에 있어 금융소비자 보호를 위협하는 요인은 없는지 금융소비자보호내부통제위원회를 통해 정기적으로 점검하고</w:t>
      </w:r>
      <w:r>
        <w:rPr/>
        <w:t xml:space="preserve">, </w:t>
      </w:r>
      <w:r>
        <w:rPr/>
        <w:t>그 결과를 이사회에 보고하여야 한다</w:t>
      </w:r>
      <w:r>
        <w:rPr/>
        <w:t>.</w:t>
      </w:r>
    </w:p>
    <w:p>
      <w:pPr>
        <w:pStyle w:val="BodyText"/>
        <w:rPr/>
      </w:pPr>
      <w:r>
        <w:rPr/>
        <w:t xml:space="preserve">③ </w:t>
      </w:r>
      <w:r>
        <w:rPr/>
        <w:t>비예금상품 판매에 따른 수익성 배점은 금융소비자 보호 관련 배점을 초과하지 않도록 절대적</w:t>
      </w:r>
      <w:r>
        <w:rPr/>
        <w:t>·</w:t>
      </w:r>
      <w:r>
        <w:rPr/>
        <w:t>상대적 기준으로 관리해야 하며</w:t>
      </w:r>
      <w:r>
        <w:rPr/>
        <w:t xml:space="preserve">, </w:t>
      </w:r>
      <w:r>
        <w:rPr/>
        <w:t>금융소비자보호 관련 평가에 있어 기본점수를 높게 하거나 감점폭을 미미하게 설계</w:t>
      </w:r>
      <w:r>
        <w:rPr/>
        <w:t>·</w:t>
      </w:r>
      <w:r>
        <w:rPr/>
        <w:t>운영하지 않도록 유의해야 한다</w:t>
      </w:r>
      <w:r>
        <w:rPr/>
        <w:t>.</w:t>
      </w:r>
      <w:bookmarkEnd w:id="25"/>
    </w:p>
    <w:p>
      <w:pPr>
        <w:pStyle w:val="Heading3"/>
        <w:rPr/>
      </w:pPr>
      <w:bookmarkStart w:id="26" w:name="제20조성과평가시-준수사항"/>
      <w:r>
        <w:rPr/>
        <w:t>제</w:t>
      </w:r>
      <w:r>
        <w:rPr/>
        <w:t>20</w:t>
      </w:r>
      <w:r>
        <w:rPr/>
        <w:t>조</w:t>
      </w:r>
      <w:r>
        <w:rPr/>
        <w:t>(</w:t>
      </w:r>
      <w:r>
        <w:rPr/>
        <w:t>성과평가시 준수사항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특정 비예금상품의 판매실적 등을 성과평가지표</w:t>
      </w:r>
      <w:r>
        <w:rPr/>
        <w:t xml:space="preserve">(KPI) </w:t>
      </w:r>
      <w:r>
        <w:rPr/>
        <w:t>항목으로 운영하여서는 아니 된다</w:t>
      </w:r>
      <w:r>
        <w:rPr/>
        <w:t xml:space="preserve">. </w:t>
      </w:r>
      <w:r>
        <w:rPr/>
        <w:t>이는 정기적인 성과평가 및 수시로 실시하는 성과평가를 모두 포함한다</w:t>
      </w:r>
      <w:r>
        <w:rPr/>
        <w:t>.</w:t>
      </w:r>
    </w:p>
    <w:p>
      <w:pPr>
        <w:pStyle w:val="BodyText"/>
        <w:rPr/>
      </w:pPr>
      <w:r>
        <w:rPr/>
        <w:t xml:space="preserve">② </w:t>
      </w:r>
      <w:r>
        <w:rPr/>
        <w:t>성과평가시 부당권유</w:t>
      </w:r>
      <w:r>
        <w:rPr/>
        <w:t xml:space="preserve">, </w:t>
      </w:r>
      <w:r>
        <w:rPr/>
        <w:t>적합성ㆍ적정성 원칙 위반</w:t>
      </w:r>
      <w:r>
        <w:rPr/>
        <w:t xml:space="preserve">, </w:t>
      </w:r>
      <w:r>
        <w:rPr/>
        <w:t>설명의무 위반 등의 불완전판매 항목을 성과평가지표</w:t>
      </w:r>
      <w:r>
        <w:rPr/>
        <w:t>(KPI)</w:t>
      </w:r>
      <w:r>
        <w:rPr/>
        <w:t>로 운영하고</w:t>
      </w:r>
      <w:r>
        <w:rPr/>
        <w:t xml:space="preserve">, </w:t>
      </w:r>
      <w:r>
        <w:rPr/>
        <w:t>불완전판매 발생으로 인한 성과평가지표</w:t>
      </w:r>
      <w:r>
        <w:rPr/>
        <w:t xml:space="preserve">(KPI) </w:t>
      </w:r>
      <w:r>
        <w:rPr/>
        <w:t>배점은 해당 비예금상품의 판매실적으로 인한 성과평가지표</w:t>
      </w:r>
      <w:r>
        <w:rPr/>
        <w:t xml:space="preserve">(KPI) </w:t>
      </w:r>
      <w:r>
        <w:rPr/>
        <w:t>배점 이상으로 운영하며 해당 상품 판매에 따른 판매실적 배점을 실질적으로 차감하는 등 불완전판매 발생을 방지할 수 있도록 실효성 있게 운영하여야 한다</w:t>
      </w:r>
      <w:r>
        <w:rPr/>
        <w:t>.</w:t>
      </w:r>
    </w:p>
    <w:p>
      <w:pPr>
        <w:pStyle w:val="BodyText"/>
        <w:rPr/>
      </w:pPr>
      <w:r>
        <w:rPr/>
        <w:t xml:space="preserve">③ </w:t>
      </w:r>
      <w:r>
        <w:rPr/>
        <w:t>비예금상품의 판매와 관련된 성과평가지표</w:t>
      </w:r>
      <w:r>
        <w:rPr/>
        <w:t xml:space="preserve">(KPI) </w:t>
      </w:r>
      <w:r>
        <w:rPr/>
        <w:t>설계 시 위험도가 높은 상품판매에 가중치를 더 높게 부여하지 않아야 하며</w:t>
      </w:r>
      <w:r>
        <w:rPr/>
        <w:t xml:space="preserve">, </w:t>
      </w:r>
      <w:r>
        <w:rPr/>
        <w:t>판매 실적의 집계는 비선형적으로 평가하지 않아야 한다</w:t>
      </w:r>
      <w:r>
        <w:rPr/>
        <w:t>.</w:t>
      </w:r>
    </w:p>
    <w:p>
      <w:pPr>
        <w:pStyle w:val="BodyText"/>
        <w:rPr/>
      </w:pPr>
      <w:r>
        <w:rPr/>
        <w:t xml:space="preserve">④ </w:t>
      </w:r>
      <w:r>
        <w:rPr/>
        <w:t>준법감시부 및 검사부의 감사결과 등 비예금상품 판매와 관련된 내부통제 점검결과가 성과 평가지표</w:t>
      </w:r>
      <w:r>
        <w:rPr/>
        <w:t>(KPI)</w:t>
      </w:r>
      <w:r>
        <w:rPr/>
        <w:t>에 반영되도록 하여야 한다</w:t>
      </w:r>
      <w:r>
        <w:rPr/>
        <w:t>.</w:t>
      </w:r>
    </w:p>
    <w:p>
      <w:pPr>
        <w:pStyle w:val="SourceCode"/>
        <w:rPr/>
      </w:pPr>
      <w:r>
        <w:rPr>
          <w:rStyle w:val="VerbatimChar"/>
        </w:rPr>
        <w:t xml:space="preserve">⑤ </w:t>
      </w:r>
      <w:r>
        <w:rPr>
          <w:rStyle w:val="VerbatimChar"/>
        </w:rPr>
        <w:t>성과평가시 단기 영업실적보다 고객이익이 우선할 수 있도록 해당 비예금상품을 구매한 고객 수익률 등 고객만족도와 관련된 지표를 성과평가지표</w:t>
      </w:r>
      <w:r>
        <w:rPr>
          <w:rStyle w:val="VerbatimChar"/>
        </w:rPr>
        <w:t>(KPI)</w:t>
      </w:r>
      <w:r>
        <w:rPr>
          <w:rStyle w:val="VerbatimChar"/>
        </w:rPr>
        <w:t>에 반영하여야 한다</w:t>
      </w:r>
      <w:r>
        <w:rPr>
          <w:rStyle w:val="VerbatimChar"/>
        </w:rPr>
        <w:t xml:space="preserve">. </w:t>
      </w:r>
      <w:r>
        <w:rPr>
          <w:rStyle w:val="VerbatimChar"/>
        </w:rPr>
        <w:t>단</w:t>
      </w:r>
      <w:r>
        <w:rPr>
          <w:rStyle w:val="VerbatimChar"/>
        </w:rPr>
        <w:t xml:space="preserve">, </w:t>
      </w:r>
      <w:r>
        <w:rPr>
          <w:rStyle w:val="VerbatimChar"/>
        </w:rPr>
        <w:t>고객만족도와 관련된 지표에는 고객의 만기 또는 조기상환 시점의 손익결과가 포함되어야 한다</w:t>
      </w:r>
      <w:r>
        <w:rPr>
          <w:rStyle w:val="VerbatimChar"/>
        </w:rPr>
        <w:t>.</w:t>
      </w:r>
    </w:p>
    <w:p>
      <w:pPr>
        <w:pStyle w:val="FirstParagraph"/>
        <w:rPr/>
      </w:pPr>
      <w:r>
        <w:rPr/>
        <w:t xml:space="preserve">⑥ </w:t>
      </w:r>
      <w:r>
        <w:rPr/>
        <w:t>만기가 있는 비예금상품의 판매 실적을 성과평가지표</w:t>
      </w:r>
      <w:r>
        <w:rPr/>
        <w:t>(KPI)</w:t>
      </w:r>
      <w:r>
        <w:rPr/>
        <w:t>에 반영할 경우 만기까지 평가기간 별로 나누어 반영하여야 한다</w:t>
      </w:r>
      <w:r>
        <w:rPr/>
        <w:t xml:space="preserve">. </w:t>
      </w:r>
      <w:r>
        <w:rPr/>
        <w:t>단</w:t>
      </w:r>
      <w:r>
        <w:rPr/>
        <w:t xml:space="preserve">, </w:t>
      </w:r>
      <w:r>
        <w:rPr/>
        <w:t xml:space="preserve">만기가 </w:t>
      </w:r>
      <w:r>
        <w:rPr/>
        <w:t>10</w:t>
      </w:r>
      <w:r>
        <w:rPr/>
        <w:t xml:space="preserve">년을 초과하는 비예금상품의 경우에는 판매실적을 </w:t>
      </w:r>
      <w:r>
        <w:rPr/>
        <w:t>10</w:t>
      </w:r>
      <w:r>
        <w:rPr/>
        <w:t>년간 나누어 반영할 수 있다</w:t>
      </w:r>
      <w:r>
        <w:rPr/>
        <w:t>.</w:t>
      </w:r>
    </w:p>
    <w:p>
      <w:pPr>
        <w:pStyle w:val="BodyText"/>
        <w:rPr/>
      </w:pPr>
      <w:r>
        <w:rPr/>
        <w:t xml:space="preserve">⑦ </w:t>
      </w:r>
      <w:r>
        <w:rPr/>
        <w:t>신규 판매 건 등 단기지표는 관리자산 규모</w:t>
      </w:r>
      <w:r>
        <w:rPr/>
        <w:t>·</w:t>
      </w:r>
      <w:r>
        <w:rPr/>
        <w:t>유형별 비중 등의 지표 중심으로 반영하여야 한다</w:t>
      </w:r>
      <w:r>
        <w:rPr/>
        <w:t>.</w:t>
      </w:r>
    </w:p>
    <w:p>
      <w:pPr>
        <w:pStyle w:val="BodyText"/>
        <w:rPr/>
      </w:pPr>
      <w:r>
        <w:rPr/>
        <w:t xml:space="preserve">⑧ </w:t>
      </w:r>
      <w:r>
        <w:rPr/>
        <w:t>비예금상품 판매와 관련하여 성과평가지표</w:t>
      </w:r>
      <w:r>
        <w:rPr/>
        <w:t xml:space="preserve">(KPI) </w:t>
      </w:r>
      <w:r>
        <w:rPr/>
        <w:t xml:space="preserve">변경시에는 「금융소비자 보호에 관한 감독규정」 </w:t>
      </w:r>
      <w:r>
        <w:rPr/>
        <w:t>[</w:t>
      </w:r>
      <w:r>
        <w:rPr/>
        <w:t>별표</w:t>
      </w:r>
      <w:r>
        <w:rPr/>
        <w:t>2]</w:t>
      </w:r>
      <w:r>
        <w:rPr/>
        <w:t>에 따라 선임된 금융소비자보호 총괄책임자</w:t>
      </w:r>
      <w:r>
        <w:rPr/>
        <w:t>(CCO)</w:t>
      </w:r>
      <w:r>
        <w:rPr/>
        <w:t>의 사전합의를 얻어야 한다</w:t>
      </w:r>
      <w:r>
        <w:rPr/>
        <w:t xml:space="preserve">. </w:t>
      </w:r>
      <w:r>
        <w:rPr/>
        <w:t xml:space="preserve">또한 </w:t>
      </w:r>
      <w:r>
        <w:rPr/>
        <w:t>CCO</w:t>
      </w:r>
      <w:r>
        <w:rPr/>
        <w:t>가 성과평가지표 항목 또는 배점등에 대하여 개선을 요구하는 경우에는 거부할 만한 합리적인 이유가 없는 한 이를 반영하여야 한다</w:t>
      </w:r>
      <w:r>
        <w:rPr/>
        <w:t>.</w:t>
      </w:r>
    </w:p>
    <w:p>
      <w:pPr>
        <w:pStyle w:val="BodyText"/>
        <w:rPr/>
      </w:pPr>
      <w:r>
        <w:rPr/>
        <w:t xml:space="preserve">⑨ </w:t>
      </w:r>
      <w:r>
        <w:rPr/>
        <w:t>금융소비자가 판매담당 직원의 불건전영업행위</w:t>
      </w:r>
      <w:r>
        <w:rPr/>
        <w:t xml:space="preserve">, </w:t>
      </w:r>
      <w:r>
        <w:rPr/>
        <w:t>불완전판매 등으로 금융거래를 철회∙해지하 는 경우 은행은 판매담당 직원에 이미 제공된 금전적 보상을 환수할 수 있으며 이를 위해 보상의 일정부분은 소비자에게 상품 및 서비스가 제공되는 기간에 걸쳐 분할 또는 연기하여 제공할 수 있다</w:t>
      </w:r>
      <w:r>
        <w:rPr/>
        <w:t>.</w:t>
      </w:r>
    </w:p>
    <w:p>
      <w:pPr>
        <w:pStyle w:val="BodyText"/>
        <w:rPr/>
      </w:pPr>
      <w:r>
        <w:rPr/>
        <w:t xml:space="preserve">⑩ </w:t>
      </w:r>
      <w:r>
        <w:rPr/>
        <w:t>고령자</w:t>
      </w:r>
      <w:r>
        <w:rPr/>
        <w:t>(</w:t>
      </w:r>
      <w:r>
        <w:rPr/>
        <w:t xml:space="preserve">만 </w:t>
      </w:r>
      <w:r>
        <w:rPr/>
        <w:t>65</w:t>
      </w:r>
      <w:r>
        <w:rPr/>
        <w:t>세 이상</w:t>
      </w:r>
      <w:r>
        <w:rPr/>
        <w:t>)</w:t>
      </w:r>
      <w:r>
        <w:rPr/>
        <w:t>에게 부적합확인서를 받고 판매한 실적은 성과평가지표에 반영하지 않거나 매우 낮은 배점으로 반영하여야 한다</w:t>
      </w:r>
      <w:r>
        <w:rPr/>
        <w:t>.</w:t>
      </w:r>
      <w:bookmarkEnd w:id="24"/>
      <w:bookmarkEnd w:id="26"/>
    </w:p>
    <w:p>
      <w:pPr>
        <w:pStyle w:val="Heading2"/>
        <w:rPr/>
      </w:pPr>
      <w:bookmarkStart w:id="27" w:name="제7장-임직원-교육연수-등"/>
      <w:r>
        <w:rPr/>
        <w:t>제</w:t>
      </w:r>
      <w:r>
        <w:rPr/>
        <w:t>7</w:t>
      </w:r>
      <w:r>
        <w:rPr/>
        <w:t>장 임직원 교육</w:t>
      </w:r>
      <w:r>
        <w:rPr/>
        <w:t>·</w:t>
      </w:r>
      <w:r>
        <w:rPr/>
        <w:t>연수 등</w:t>
      </w:r>
    </w:p>
    <w:p>
      <w:pPr>
        <w:pStyle w:val="Heading3"/>
        <w:rPr/>
      </w:pPr>
      <w:bookmarkStart w:id="28" w:name="제21조교육연수-방법"/>
      <w:r>
        <w:rPr/>
        <w:t>제</w:t>
      </w:r>
      <w:r>
        <w:rPr/>
        <w:t>21</w:t>
      </w:r>
      <w:r>
        <w:rPr/>
        <w:t>조</w:t>
      </w:r>
      <w:r>
        <w:rPr/>
        <w:t>(</w:t>
      </w:r>
      <w:r>
        <w:rPr/>
        <w:t>교육∙연수 방법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 xml:space="preserve">준법감시인은 비예금상품 판매 업무에 종사하는 모든 임직원에게 준법 관련 교육을 연 </w:t>
      </w:r>
      <w:r>
        <w:rPr/>
        <w:t>1</w:t>
      </w:r>
      <w:r>
        <w:rPr/>
        <w:t>회 이상 정기적으로 실시하고 주요 법령 및 제도 변경</w:t>
      </w:r>
      <w:r>
        <w:rPr/>
        <w:t xml:space="preserve">, </w:t>
      </w:r>
      <w:r>
        <w:rPr/>
        <w:t>불완전판매 발생 등의 사항은 필요시 수시로 실시하며 동 결과를 은행장 및 이사회에 보고하여야 한다</w:t>
      </w:r>
      <w:r>
        <w:rPr/>
        <w:t>.</w:t>
      </w:r>
    </w:p>
    <w:p>
      <w:pPr>
        <w:pStyle w:val="BodyText"/>
        <w:rPr/>
      </w:pPr>
      <w:r>
        <w:rPr/>
        <w:t xml:space="preserve">② </w:t>
      </w:r>
      <w:r>
        <w:rPr/>
        <w:t>상품담당부서는 상품 판매를 담당하는 판매채널의 직원이 판매 상품의 위험도 및 복잡성 등을 충분히 인지할 수 있도록 교육ㆍ훈련하여야 한다</w:t>
      </w:r>
      <w:r>
        <w:rPr/>
        <w:t>.</w:t>
      </w:r>
    </w:p>
    <w:p>
      <w:pPr>
        <w:pStyle w:val="BodyText"/>
        <w:rPr/>
      </w:pPr>
      <w:r>
        <w:rPr/>
        <w:t xml:space="preserve">③ </w:t>
      </w:r>
      <w:r>
        <w:rPr/>
        <w:t>상품담당부서는 비예금상품 판매담당 임직원이 관련법규에 따른 판매자격을 보유하고 있는지 여부 및 보유 자격증의 기한만료 또는 보수교육 이행 여부 등을 정기적으로 확인해야 한 다</w:t>
      </w:r>
      <w:r>
        <w:rPr/>
        <w:t>.</w:t>
      </w:r>
    </w:p>
    <w:p>
      <w:pPr>
        <w:pStyle w:val="BodyText"/>
        <w:rPr/>
      </w:pPr>
      <w:r>
        <w:rPr/>
        <w:t xml:space="preserve">④ </w:t>
      </w:r>
      <w:r>
        <w:rPr/>
        <w:t>상품담당부서는 불완전판매가 발생하거나 민원 등을 다수 유발한 직원들에 대한 특별 교육 절차를 운영하여야 한다</w:t>
      </w:r>
      <w:r>
        <w:rPr/>
        <w:t>.</w:t>
      </w:r>
      <w:bookmarkEnd w:id="28"/>
    </w:p>
    <w:p>
      <w:pPr>
        <w:pStyle w:val="Heading3"/>
        <w:rPr/>
      </w:pPr>
      <w:bookmarkStart w:id="29" w:name="제22조타-조직과의-협조"/>
      <w:r>
        <w:rPr/>
        <w:t>제</w:t>
      </w:r>
      <w:r>
        <w:rPr/>
        <w:t>22</w:t>
      </w:r>
      <w:r>
        <w:rPr/>
        <w:t>조</w:t>
      </w:r>
      <w:r>
        <w:rPr/>
        <w:t>(</w:t>
      </w:r>
      <w:r>
        <w:rPr/>
        <w:t>타 조직과의 협조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준법감시인과 감사위원회는 준법감시인의 비예금상품 판매 내부통제기준 준수여부 점검 계 획 및 감사위원회의 검사계획 수립시 상호간의 관심사항이 이들 계획에 반영될 수 있도록 상호 협의∙조정하는 등 내부통제체계가 원활히 작동될 수 있도록 협조체제를 유지하여야 한다</w:t>
      </w:r>
      <w:r>
        <w:rPr/>
        <w:t>.</w:t>
      </w:r>
    </w:p>
    <w:p>
      <w:pPr>
        <w:pStyle w:val="BodyText"/>
        <w:rPr/>
      </w:pPr>
      <w:r>
        <w:rPr/>
        <w:t xml:space="preserve">② </w:t>
      </w:r>
      <w:r>
        <w:rPr/>
        <w:t>검사부가 동 지침에 따른 내부통제체계에 대해 정기 또는 수시 검사를 실시한 경우</w:t>
      </w:r>
      <w:r>
        <w:rPr/>
        <w:t xml:space="preserve">, </w:t>
      </w:r>
      <w:r>
        <w:rPr/>
        <w:t>준법감시인과 검사결과를 공유하고 관련 직원에 대한 제재 및 관련 내부통제기준을 변경하는 등 적절한 조치를 취하여야 한다</w:t>
      </w:r>
      <w:r>
        <w:rPr/>
        <w:t>.</w:t>
      </w:r>
    </w:p>
    <w:p>
      <w:pPr>
        <w:pStyle w:val="BodyText"/>
        <w:rPr/>
      </w:pPr>
      <w:r>
        <w:rPr/>
        <w:t>부 칙</w:t>
      </w:r>
      <w:r>
        <w:rPr/>
        <w:t>(2025.11.10)</w:t>
      </w:r>
    </w:p>
    <w:p>
      <w:pPr>
        <w:pStyle w:val="BodyText"/>
        <w:spacing w:before="180" w:after="180"/>
        <w:rPr/>
      </w:pPr>
      <w:r>
        <w:rPr/>
        <w:t xml:space="preserve">이 지침은 </w:t>
      </w:r>
      <w:r>
        <w:rPr/>
        <w:t>2025.11.10</w:t>
      </w:r>
      <w:r>
        <w:rPr/>
        <w:t>부터 시행한다</w:t>
      </w:r>
      <w:r>
        <w:rPr/>
        <w:t>.</w:t>
      </w:r>
      <w:bookmarkEnd w:id="0"/>
      <w:bookmarkEnd w:id="27"/>
      <w:bookmarkEnd w:id="29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">
    <w:lvl w:ilvl="0">
      <w:start w:val="2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1"/>
    <w:lvlOverride w:ilvl="0">
      <w:startOverride w:val="1"/>
    </w:lvlOverride>
  </w:num>
  <w:num w:numId="7">
    <w:abstractNumId w:val="2"/>
    <w:lvlOverride w:ilvl="0">
      <w:startOverride w:val="2"/>
    </w:lvlOverride>
    <w:lvlOverride w:ilvl="1">
      <w:startOverride w:val="2"/>
    </w:lvlOverride>
  </w:num>
  <w:num w:numId="8">
    <w:abstractNumId w:val="1"/>
    <w:lvlOverride w:ilvl="0">
      <w:startOverride w:val="1"/>
    </w:lvlOverride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  <w:lvlOverride w:ilvl="0">
      <w:startOverride w:val="1"/>
    </w:lvlOverride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2026-09-10T04:14:15Z</dcterms:created>
  <dc:creator/>
  <dc:description/>
  <dc:language>en-US</dc:language>
  <cp:lastModifiedBy/>
  <dcterms:modified xsi:type="dcterms:W3CDTF">2026-09-10T04:14:15Z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