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이익제공지침"/>
      <w:r>
        <w:rPr/>
        <w:t>이익제공지침</w:t>
      </w:r>
    </w:p>
    <w:p>
      <w:pPr>
        <w:pStyle w:val="FirstParagraph"/>
        <w:rPr/>
      </w:pPr>
      <w:r>
        <w:rPr/>
        <w:t xml:space="preserve">제정 </w:t>
      </w:r>
      <w:r>
        <w:rPr/>
        <w:t>2016.07.30.</w:t>
      </w:r>
    </w:p>
    <w:p>
      <w:pPr>
        <w:pStyle w:val="BodyText"/>
        <w:rPr/>
      </w:pPr>
      <w:r>
        <w:rPr/>
        <w:t xml:space="preserve">개정 </w:t>
      </w:r>
      <w:r>
        <w:rPr/>
        <w:t>2016.08.25.</w:t>
      </w:r>
    </w:p>
    <w:p>
      <w:pPr>
        <w:pStyle w:val="BodyText"/>
        <w:rPr/>
      </w:pPr>
      <w:r>
        <w:rPr/>
        <w:t xml:space="preserve">개정 </w:t>
      </w:r>
      <w:r>
        <w:rPr/>
        <w:t>2016.11.24.</w:t>
      </w:r>
    </w:p>
    <w:p>
      <w:pPr>
        <w:pStyle w:val="BodyText"/>
        <w:rPr/>
      </w:pPr>
      <w:r>
        <w:rPr/>
        <w:t xml:space="preserve">개정 </w:t>
      </w:r>
      <w:r>
        <w:rPr/>
        <w:t>2017.03.07.</w:t>
      </w:r>
    </w:p>
    <w:p>
      <w:pPr>
        <w:pStyle w:val="BodyText"/>
        <w:rPr/>
      </w:pPr>
      <w:r>
        <w:rPr/>
        <w:t xml:space="preserve">개정 </w:t>
      </w:r>
      <w:r>
        <w:rPr/>
        <w:t>2019.12.18.</w:t>
      </w:r>
    </w:p>
    <w:p>
      <w:pPr>
        <w:pStyle w:val="BodyText"/>
        <w:rPr/>
      </w:pPr>
      <w:r>
        <w:rPr/>
        <w:t xml:space="preserve">개정 </w:t>
      </w:r>
      <w:r>
        <w:rPr/>
        <w:t>2020.04.10.</w:t>
      </w:r>
    </w:p>
    <w:p>
      <w:pPr>
        <w:pStyle w:val="BodyText"/>
        <w:rPr/>
      </w:pPr>
      <w:r>
        <w:rPr/>
        <w:t xml:space="preserve">개정 </w:t>
      </w:r>
      <w:r>
        <w:rPr/>
        <w:t>2021.02.26.</w:t>
      </w:r>
    </w:p>
    <w:p>
      <w:pPr>
        <w:pStyle w:val="BodyText"/>
        <w:rPr/>
      </w:pPr>
      <w:r>
        <w:rPr/>
        <w:t xml:space="preserve">개정 </w:t>
      </w:r>
      <w:r>
        <w:rPr/>
        <w:t>2023.01.19.</w:t>
      </w:r>
    </w:p>
    <w:p>
      <w:pPr>
        <w:pStyle w:val="BodyText"/>
        <w:rPr/>
      </w:pPr>
      <w:r>
        <w:rPr/>
        <w:t xml:space="preserve">개정 </w:t>
      </w:r>
      <w:r>
        <w:rPr/>
        <w:t>2023.09.25.</w:t>
      </w:r>
    </w:p>
    <w:p>
      <w:pPr>
        <w:pStyle w:val="Compact"/>
        <w:numPr>
          <w:ilvl w:val="0"/>
          <w:numId w:val="13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지침은 은행법 제</w:t>
      </w:r>
      <w:r>
        <w:rPr/>
        <w:t>34</w:t>
      </w:r>
      <w:r>
        <w:rPr/>
        <w:t xml:space="preserve">조의 </w:t>
      </w:r>
      <w:r>
        <w:rPr/>
        <w:t xml:space="preserve">2 </w:t>
      </w:r>
      <w:r>
        <w:rPr/>
        <w:t>및 하위법령과 내부통제규정 제</w:t>
      </w:r>
      <w:r>
        <w:rPr/>
        <w:t>26</w:t>
      </w:r>
      <w:r>
        <w:rPr/>
        <w:t>조의</w:t>
      </w:r>
      <w:r>
        <w:rPr/>
        <w:t>2</w:t>
      </w:r>
      <w:r>
        <w:rPr/>
        <w:t>에 근거하여 은행이 은행이용자에 대한 이익제공시 준수하여야 할 구체적인 사항을 정하는데 목적이 있다</w:t>
      </w:r>
      <w:r>
        <w:rPr/>
        <w:t>.</w:t>
      </w:r>
    </w:p>
    <w:p>
      <w:pPr>
        <w:pStyle w:val="Compact"/>
        <w:numPr>
          <w:ilvl w:val="0"/>
          <w:numId w:val="14"/>
        </w:numPr>
        <w:rPr/>
      </w:pPr>
      <w:r>
        <w:rPr/>
        <w:t>적용범위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이 지침은 은행이 은행이용자</w:t>
      </w:r>
      <w:r>
        <w:rPr/>
        <w:t>(</w:t>
      </w:r>
      <w:r>
        <w:rPr/>
        <w:t>잠재고객 포함</w:t>
      </w:r>
      <w:r>
        <w:rPr/>
        <w:t>)</w:t>
      </w:r>
      <w:r>
        <w:rPr/>
        <w:t>에게 재산상 이익 제공시 적용되고</w:t>
      </w:r>
      <w:r>
        <w:rPr/>
        <w:t xml:space="preserve">, </w:t>
      </w:r>
      <w:r>
        <w:rPr/>
        <w:t>전략기획</w:t>
      </w:r>
      <w:r>
        <w:rPr/>
        <w:t xml:space="preserve">, </w:t>
      </w:r>
      <w:r>
        <w:rPr/>
        <w:t>총무</w:t>
      </w:r>
      <w:r>
        <w:rPr/>
        <w:t xml:space="preserve">, IT, </w:t>
      </w:r>
      <w:r>
        <w:rPr/>
        <w:t>홍보 등 후선업무와 관련된 이익 제공시에는 적용하지 아니한다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재산상 이익제공과 관련하여 다른 법령 등에서 특별히 정하는 경우에는 그에 따른다</w:t>
      </w:r>
      <w:r>
        <w:rPr/>
        <w:t>.</w:t>
      </w:r>
    </w:p>
    <w:p>
      <w:pPr>
        <w:pStyle w:val="Compact"/>
        <w:numPr>
          <w:ilvl w:val="0"/>
          <w:numId w:val="15"/>
        </w:numPr>
        <w:rPr/>
      </w:pPr>
      <w:r>
        <w:rPr/>
        <w:t>용어의 정의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「재산상 이익제공」이란 은행이 은행업무</w:t>
      </w:r>
      <w:r>
        <w:rPr/>
        <w:t xml:space="preserve">, </w:t>
      </w:r>
      <w:r>
        <w:rPr/>
        <w:t>부수업무</w:t>
      </w:r>
      <w:r>
        <w:rPr/>
        <w:t xml:space="preserve">, </w:t>
      </w:r>
      <w:r>
        <w:rPr/>
        <w:t>겸영업무와 관련하여 은행이용자인 개인</w:t>
      </w:r>
      <w:r>
        <w:rPr/>
        <w:t xml:space="preserve">, </w:t>
      </w:r>
      <w:r>
        <w:rPr/>
        <w:t>법인 또는 단체</w:t>
      </w:r>
      <w:r>
        <w:rPr/>
        <w:t>(</w:t>
      </w:r>
      <w:r>
        <w:rPr/>
        <w:t>대학</w:t>
      </w:r>
      <w:r>
        <w:rPr/>
        <w:t>,</w:t>
      </w:r>
      <w:r>
        <w:rPr/>
        <w:t>병원</w:t>
      </w:r>
      <w:r>
        <w:rPr/>
        <w:t>,</w:t>
      </w:r>
      <w:r>
        <w:rPr/>
        <w:t>지방자치단체 등</w:t>
      </w:r>
      <w:r>
        <w:rPr/>
        <w:t>)</w:t>
      </w:r>
      <w:r>
        <w:rPr/>
        <w:t>에게 금전</w:t>
      </w:r>
      <w:r>
        <w:rPr/>
        <w:t xml:space="preserve">, </w:t>
      </w:r>
      <w:r>
        <w:rPr/>
        <w:t>물품</w:t>
      </w:r>
      <w:r>
        <w:rPr/>
        <w:t xml:space="preserve">, </w:t>
      </w:r>
      <w:r>
        <w:rPr/>
        <w:t>편익 등을 제공하는 것을 말한다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「이익제공 소관부서」란 은행이용자에게 직접적으로 이익을 제공한 본부부서 및 이익을 제공한 영업점의 관할 본부부서를 의미한다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/>
        <w:t>이익제공의 기본원칙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은행은 은행이용자에게 정상적인 수준을 초과하여 재산상 이익을 제공하는 행위를 하여서는 아니된다</w:t>
      </w:r>
      <w:r>
        <w:rPr/>
        <w:t xml:space="preserve">. </w:t>
      </w:r>
      <w:r>
        <w:rPr/>
        <w:t>다만 다음 각호의 경우에는 제외한다</w:t>
      </w:r>
      <w:r>
        <w:rPr/>
        <w:t>.</w:t>
      </w:r>
    </w:p>
    <w:p>
      <w:pPr>
        <w:pStyle w:val="Normal"/>
        <w:numPr>
          <w:ilvl w:val="0"/>
          <w:numId w:val="17"/>
        </w:numPr>
        <w:rPr/>
      </w:pPr>
      <w:r>
        <w:rPr/>
        <w:t xml:space="preserve">경제적 가치가 </w:t>
      </w:r>
      <w:r>
        <w:rPr/>
        <w:t>3</w:t>
      </w:r>
      <w:r>
        <w:rPr/>
        <w:t>만원 이하인 물품</w:t>
      </w:r>
      <w:r>
        <w:rPr/>
        <w:t>,</w:t>
      </w:r>
      <w:r>
        <w:rPr/>
        <w:t xml:space="preserve">식사 또는 </w:t>
      </w:r>
      <w:r>
        <w:rPr/>
        <w:t>20</w:t>
      </w:r>
      <w:r>
        <w:rPr/>
        <w:t>만원 이하의 경조비</w:t>
      </w:r>
      <w:r>
        <w:rPr/>
        <w:t xml:space="preserve">, </w:t>
      </w:r>
      <w:r>
        <w:rPr/>
        <w:t>조화</w:t>
      </w:r>
      <w:r>
        <w:rPr/>
        <w:t xml:space="preserve">, </w:t>
      </w:r>
      <w:r>
        <w:rPr/>
        <w:t>화환</w:t>
      </w:r>
    </w:p>
    <w:p>
      <w:pPr>
        <w:pStyle w:val="Normal"/>
        <w:numPr>
          <w:ilvl w:val="0"/>
          <w:numId w:val="5"/>
        </w:numPr>
        <w:rPr/>
      </w:pPr>
      <w:r>
        <w:rPr/>
        <w:t>퇴직연금감독규정 제</w:t>
      </w:r>
      <w:r>
        <w:rPr/>
        <w:t>16</w:t>
      </w:r>
      <w:r>
        <w:rPr/>
        <w:t>조</w:t>
      </w:r>
      <w:r>
        <w:rPr/>
        <w:t>(</w:t>
      </w:r>
      <w:r>
        <w:rPr/>
        <w:t>특별한 이익</w:t>
      </w:r>
      <w:r>
        <w:rPr/>
        <w:t>)</w:t>
      </w:r>
      <w:r>
        <w:rPr/>
        <w:t>의 제</w:t>
      </w:r>
      <w:r>
        <w:rPr/>
        <w:t>1</w:t>
      </w:r>
      <w:r>
        <w:rPr/>
        <w:t>항과 관련하여 제공된 특별이익의 금액이</w:t>
      </w:r>
    </w:p>
    <w:p>
      <w:pPr>
        <w:pStyle w:val="FirstParagraph"/>
        <w:rPr/>
      </w:pPr>
      <w:r>
        <w:rPr/>
        <w:t>3</w:t>
      </w:r>
      <w:r>
        <w:rPr/>
        <w:t>만원 이하인 경우</w:t>
      </w:r>
      <w:r>
        <w:rPr/>
        <w:t>(</w:t>
      </w:r>
      <w:r>
        <w:rPr/>
        <w:t>다만</w:t>
      </w:r>
      <w:r>
        <w:rPr/>
        <w:t xml:space="preserve">, </w:t>
      </w:r>
      <w:r>
        <w:rPr/>
        <w:t>특별이익 해당여부는 사용자 및 가입자 각각에 대해 개별적으로 적용한다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재산상 이익제공에는 입찰경쟁을 통해 임차인을 결정하는 경우로서 통상적 수준을 초과하여 지급하는 임차료</w:t>
      </w:r>
      <w:r>
        <w:rPr/>
        <w:t xml:space="preserve">, </w:t>
      </w:r>
      <w:r>
        <w:rPr/>
        <w:t>지방자치단체 등에 금고대행계약 조건으로 지급하는 출연금 및 협력사업계획 등에 반영된 기부금</w:t>
      </w:r>
      <w:r>
        <w:rPr/>
        <w:t xml:space="preserve">, </w:t>
      </w:r>
      <w:r>
        <w:rPr/>
        <w:t>후원금</w:t>
      </w:r>
      <w:r>
        <w:rPr/>
        <w:t xml:space="preserve">, </w:t>
      </w:r>
      <w:r>
        <w:rPr/>
        <w:t>각종 편익제공 등을 포함한다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위 나의 기부금 및 후원금</w:t>
      </w:r>
      <w:r>
        <w:rPr/>
        <w:t xml:space="preserve">, </w:t>
      </w:r>
      <w:r>
        <w:rPr/>
        <w:t>각종 편익제공의 경우 거래시점 및 기간</w:t>
      </w:r>
      <w:r>
        <w:rPr/>
        <w:t xml:space="preserve">, </w:t>
      </w:r>
      <w:r>
        <w:rPr/>
        <w:t>규모 등을 감안할 때 은행업무 등과 관련성이 있다고 판단될 경우 재산상 이익제공으로 보며 협력사업계획에 의해 제</w:t>
      </w:r>
      <w:r>
        <w:rPr/>
        <w:t>3</w:t>
      </w:r>
      <w:r>
        <w:rPr/>
        <w:t>자에게 이익을 제공한 경우 협력사업당사자에 대한 이익제공으로 본다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위 가에서 정한 정상적인 수준은 아래 </w:t>
      </w:r>
      <w:r>
        <w:rPr/>
        <w:t>5.</w:t>
      </w:r>
      <w:r>
        <w:rPr/>
        <w:t xml:space="preserve">에서 </w:t>
      </w:r>
      <w:r>
        <w:rPr/>
        <w:t>9.</w:t>
      </w:r>
      <w:r>
        <w:rPr/>
        <w:t>의 절차를 모두 충족하는 경우로서 제공규모 및 횟수 등을 감안하여 일반인이 통상적으로 이해하는 수준에 반하지 아니하는 수준을 말한다</w:t>
      </w:r>
      <w:r>
        <w:rPr/>
        <w:t>.</w:t>
      </w:r>
    </w:p>
    <w:p>
      <w:pPr>
        <w:pStyle w:val="Compact"/>
        <w:numPr>
          <w:ilvl w:val="0"/>
          <w:numId w:val="18"/>
        </w:numPr>
        <w:rPr/>
      </w:pPr>
      <w:r>
        <w:rPr/>
        <w:t>이익제공시 준법감시인 보고</w:t>
      </w:r>
    </w:p>
    <w:p>
      <w:pPr>
        <w:pStyle w:val="FirstParagraph"/>
        <w:rPr/>
      </w:pPr>
      <w:r>
        <w:rPr/>
        <w:t xml:space="preserve">은행이 은행이용자에게 재산상 이익제공을 하는 경우 이익제공 보고시스템을 통하여 준법감시인에게 사전 보고하고 그 제공한 날부터 </w:t>
      </w:r>
      <w:r>
        <w:rPr/>
        <w:t>5</w:t>
      </w:r>
      <w:r>
        <w:rPr/>
        <w:t>년간 제공목적</w:t>
      </w:r>
      <w:r>
        <w:rPr/>
        <w:t xml:space="preserve">, </w:t>
      </w:r>
      <w:r>
        <w:rPr/>
        <w:t>제공내용</w:t>
      </w:r>
      <w:r>
        <w:rPr/>
        <w:t xml:space="preserve">, </w:t>
      </w:r>
      <w:r>
        <w:rPr/>
        <w:t>제공일자 및 제공받는 자 등에 대한 기록을 유지하여야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 xml:space="preserve">다음 각호의 경우에는 이익제공 후 </w:t>
      </w:r>
      <w:r>
        <w:rPr/>
        <w:t>1</w:t>
      </w:r>
      <w:r>
        <w:rPr/>
        <w:t>개월 이내 보고할 수 있다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 xml:space="preserve">건당 </w:t>
      </w:r>
      <w:r>
        <w:rPr/>
        <w:t>100</w:t>
      </w:r>
      <w:r>
        <w:rPr/>
        <w:t>만원 이하의 소액인 경우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이익제공 상대방과 금액을 미리 정하기 곤란한 경우</w:t>
      </w:r>
    </w:p>
    <w:p>
      <w:pPr>
        <w:pStyle w:val="Compact"/>
        <w:numPr>
          <w:ilvl w:val="0"/>
          <w:numId w:val="19"/>
        </w:numPr>
        <w:rPr/>
      </w:pPr>
      <w:r>
        <w:rPr/>
        <w:t>수익성 평가기준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은행이 재산상 이익을 제공하는 경우 사전에 그 수익성을 평가하여야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수익성 평가 대상기간은 특별한 사유가 없는 한 재산상 이익 제공기간</w:t>
      </w:r>
      <w:r>
        <w:rPr/>
        <w:t>(</w:t>
      </w:r>
      <w:r>
        <w:rPr/>
        <w:t>계약기간</w:t>
      </w:r>
      <w:r>
        <w:rPr/>
        <w:t>)</w:t>
      </w:r>
      <w:r>
        <w:rPr/>
        <w:t>으로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수익성 평가와 관련된 구체적인 세부 산정기준은 공공기관 출연금 관리지침에 따른다</w:t>
      </w:r>
      <w:r>
        <w:rPr/>
        <w:t>.</w:t>
      </w:r>
    </w:p>
    <w:p>
      <w:pPr>
        <w:pStyle w:val="Compact"/>
        <w:numPr>
          <w:ilvl w:val="0"/>
          <w:numId w:val="20"/>
        </w:numPr>
        <w:rPr/>
      </w:pPr>
      <w:r>
        <w:rPr/>
        <w:t>이익제공에 대한 이사회 의결등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은행이 은행이용자에게 건당 </w:t>
      </w:r>
      <w:r>
        <w:rPr/>
        <w:t>10</w:t>
      </w:r>
      <w:r>
        <w:rPr/>
        <w:t>억원을 초과하여 이익을 제공하고자 하는 경우에는 이사회의 사전의결을 받아야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긴급을 요할 시에는 집행위원회의 승인을 얻어 사전취급하고</w:t>
      </w:r>
      <w:r>
        <w:rPr/>
        <w:t xml:space="preserve">, </w:t>
      </w:r>
      <w:r>
        <w:rPr/>
        <w:t>차회의 이사회에 부의하여야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은행이 은행이용자에게 건당 </w:t>
      </w:r>
      <w:r>
        <w:rPr/>
        <w:t>1</w:t>
      </w:r>
      <w:r>
        <w:rPr/>
        <w:t xml:space="preserve">억원 초과 </w:t>
      </w:r>
      <w:r>
        <w:rPr/>
        <w:t>10</w:t>
      </w:r>
      <w:r>
        <w:rPr/>
        <w:t>억원 이하로 이익을 제공하는 경우에는 이익제공 전 준법감시인에게 사전감시를 득하여야 하며 이익제공 후 이사회에 분기내 사후보고를 하여야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이사회 일정 등의 사유로 분기내 보고를 하기 어려운 경우에는 다음 분기 최초 이사회에 보고할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은행이 은행이용자에게 건당 </w:t>
      </w:r>
      <w:r>
        <w:rPr/>
        <w:t>500</w:t>
      </w:r>
      <w:r>
        <w:rPr/>
        <w:t xml:space="preserve">만원 초과 </w:t>
      </w:r>
      <w:r>
        <w:rPr/>
        <w:t>1</w:t>
      </w:r>
      <w:r>
        <w:rPr/>
        <w:t xml:space="preserve">억원 이하로 이익을 제공하는 경우에는 연간 </w:t>
      </w:r>
      <w:r>
        <w:rPr/>
        <w:t>1</w:t>
      </w:r>
      <w:r>
        <w:rPr/>
        <w:t>회 이사회에 사후보고하여야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은행이 은행이용자에게 건당 </w:t>
      </w:r>
      <w:r>
        <w:rPr/>
        <w:t>3</w:t>
      </w:r>
      <w:r>
        <w:rPr/>
        <w:t xml:space="preserve">만원 초과 </w:t>
      </w:r>
      <w:r>
        <w:rPr/>
        <w:t>500</w:t>
      </w:r>
      <w:r>
        <w:rPr/>
        <w:t xml:space="preserve">만원 이하로 이익을 제공하는 경우에는 연간 </w:t>
      </w:r>
      <w:r>
        <w:rPr/>
        <w:t>1</w:t>
      </w:r>
      <w:r>
        <w:rPr/>
        <w:t>회 이사회에 사후 통계보고하여야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위 가</w:t>
      </w:r>
      <w:r>
        <w:rPr/>
        <w:t xml:space="preserve">, </w:t>
      </w:r>
      <w:r>
        <w:rPr/>
        <w:t>나의 사전의결 및 사후보고는 이익제공 소관부서에서 담당하며</w:t>
      </w:r>
      <w:r>
        <w:rPr/>
        <w:t xml:space="preserve">, </w:t>
      </w:r>
      <w:r>
        <w:rPr/>
        <w:t>다</w:t>
      </w:r>
      <w:r>
        <w:rPr/>
        <w:t xml:space="preserve">, </w:t>
      </w:r>
      <w:r>
        <w:rPr/>
        <w:t>라의 사후보고는 준법감시부서에서 담당한다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이사회의 사전의결대상에 해당되는 재산상 이익제공 건의 경우 제공받는 자에게 관련 제안서 등을 제출하기에 앞서 이사회에 충분한 검토 시간과 자료를 제공하여야 한다</w:t>
      </w:r>
      <w:r>
        <w:rPr/>
        <w:t>.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이사회 보고 자료에는 이익제공 건의 상세한 수익성 평가결과와 제공하려는 이익의 내용</w:t>
      </w:r>
      <w:r>
        <w:rPr/>
        <w:t>(</w:t>
      </w:r>
      <w:r>
        <w:rPr/>
        <w:t>출연금</w:t>
      </w:r>
      <w:r>
        <w:rPr/>
        <w:t>,</w:t>
      </w:r>
      <w:r>
        <w:rPr/>
        <w:t>기부금</w:t>
      </w:r>
      <w:r>
        <w:rPr/>
        <w:t>,</w:t>
      </w:r>
      <w:r>
        <w:rPr/>
        <w:t>금리</w:t>
      </w:r>
      <w:r>
        <w:rPr/>
        <w:t xml:space="preserve">, </w:t>
      </w:r>
      <w:r>
        <w:rPr/>
        <w:t>각종편익</w:t>
      </w:r>
      <w:r>
        <w:rPr/>
        <w:t>)</w:t>
      </w:r>
      <w:r>
        <w:rPr/>
        <w:t>이 포함되어야 한다</w:t>
      </w:r>
      <w:r>
        <w:rPr/>
        <w:t>.</w:t>
      </w:r>
    </w:p>
    <w:p>
      <w:pPr>
        <w:pStyle w:val="Compact"/>
        <w:numPr>
          <w:ilvl w:val="0"/>
          <w:numId w:val="21"/>
        </w:numPr>
        <w:rPr/>
      </w:pPr>
      <w:r>
        <w:rPr/>
        <w:t>이익제공의 적정성 점검 및 평가절차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이익을 제공하는 각 부점은 사전에 별표 </w:t>
      </w:r>
      <w:r>
        <w:rPr/>
        <w:t xml:space="preserve">1. </w:t>
      </w:r>
      <w:r>
        <w:rPr/>
        <w:t>「이익제공 적정성 점검표」 양식에 의거하여 이익제공의 적정성을 점검하여야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 xml:space="preserve">건당 </w:t>
      </w:r>
      <w:r>
        <w:rPr/>
        <w:t>500</w:t>
      </w:r>
      <w:r>
        <w:rPr/>
        <w:t>만원 이하는 제외한다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이익을 제공한 각 부점은 매회계년도 경과후 익년 </w:t>
      </w:r>
      <w:r>
        <w:rPr/>
        <w:t>1</w:t>
      </w:r>
      <w:r>
        <w:rPr/>
        <w:t xml:space="preserve">월중에 별표 </w:t>
      </w:r>
      <w:r>
        <w:rPr/>
        <w:t xml:space="preserve">2. </w:t>
      </w:r>
      <w:r>
        <w:rPr/>
        <w:t>「이익제공 사후평가표」 양식에 의거하여 이익제공의 사후평가를 실시하여야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 xml:space="preserve">건당 </w:t>
      </w:r>
      <w:r>
        <w:rPr/>
        <w:t>500</w:t>
      </w:r>
      <w:r>
        <w:rPr/>
        <w:t>만원 이하는 제외한다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은행이용자에게 이익을 제공한 각 부점은 「이익제공 적정성 점검표」는 이익제공 보고시에</w:t>
      </w:r>
      <w:r>
        <w:rPr/>
        <w:t xml:space="preserve">, </w:t>
      </w:r>
      <w:r>
        <w:rPr/>
        <w:t xml:space="preserve">「이익제공 사후평가표」는 매회계년도 경과후 익년 </w:t>
      </w:r>
      <w:r>
        <w:rPr/>
        <w:t>1</w:t>
      </w:r>
      <w:r>
        <w:rPr/>
        <w:t>월말까지 준법감시인에게 제출하여야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이익제공 소관부서는 이익제공 적정성 평가시 이사회 사전의결 대상 이익제공 건에 대해서는 건별로 연 </w:t>
      </w:r>
      <w:r>
        <w:rPr/>
        <w:t>1</w:t>
      </w:r>
      <w:r>
        <w:rPr/>
        <w:t>회 실제 운영 손익과 사전 예상 손익을 비교분석하고</w:t>
      </w:r>
      <w:r>
        <w:rPr/>
        <w:t xml:space="preserve">, </w:t>
      </w:r>
      <w:r>
        <w:rPr/>
        <w:t>실제 손익이 예상 손익에 미달하는 경우 그 원인 및 대책들을 별도로 검토하여 준법감시인에게 제출하여야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준법감시인은 각 부점으로부터 제출 받은 「이익제공 적정성 점검표」와 「이익제공 사후평가표」의 검토 결과 및 위 라의 자료를 매년 이사회에 보고하여야 한다</w:t>
      </w:r>
      <w:r>
        <w:rPr/>
        <w:t>.</w:t>
      </w:r>
    </w:p>
    <w:p>
      <w:pPr>
        <w:pStyle w:val="Compact"/>
        <w:numPr>
          <w:ilvl w:val="0"/>
          <w:numId w:val="22"/>
        </w:numPr>
        <w:rPr/>
      </w:pPr>
      <w:r>
        <w:rPr/>
        <w:t>공시</w:t>
      </w:r>
    </w:p>
    <w:p>
      <w:pPr>
        <w:pStyle w:val="FirstParagraph"/>
        <w:rPr/>
      </w:pPr>
      <w:r>
        <w:rPr/>
        <w:t xml:space="preserve">이익제공 소관부서는 최근 </w:t>
      </w:r>
      <w:r>
        <w:rPr/>
        <w:t>5</w:t>
      </w:r>
      <w:r>
        <w:rPr/>
        <w:t xml:space="preserve">개 사업연도중 특정 은행이용자에게 제공하거나 향후 제공이 확정된 재산상 이익이 </w:t>
      </w:r>
      <w:r>
        <w:rPr/>
        <w:t>10</w:t>
      </w:r>
      <w:r>
        <w:rPr/>
        <w:t>억을 초과한 경우</w:t>
      </w:r>
      <w:r>
        <w:rPr/>
        <w:t>(</w:t>
      </w:r>
      <w:r>
        <w:rPr/>
        <w:t xml:space="preserve">종전 공시된 재산상 이익에서 추가 </w:t>
      </w:r>
      <w:r>
        <w:rPr/>
        <w:t>10</w:t>
      </w:r>
      <w:r>
        <w:rPr/>
        <w:t>억원이 제공되거나 향후 제공이 확정된 경우를 포함한다</w:t>
      </w:r>
      <w:r>
        <w:rPr/>
        <w:t xml:space="preserve">.) </w:t>
      </w:r>
      <w:r>
        <w:rPr/>
        <w:t>금융감독원장이 정하는 절차 및 방법에 따라 양식 그 내용을 인터넷 홈페이지 등을 이용하여 공시하여야 한다</w:t>
      </w:r>
      <w:r>
        <w:rPr/>
        <w:t>.</w:t>
      </w:r>
    </w:p>
    <w:p>
      <w:pPr>
        <w:pStyle w:val="Heading2"/>
        <w:rPr/>
      </w:pPr>
      <w:bookmarkStart w:id="1" w:name="부-칙"/>
      <w:r>
        <w:rPr/>
        <w:t>부 칙</w:t>
      </w:r>
    </w:p>
    <w:p>
      <w:pPr>
        <w:pStyle w:val="Normal"/>
        <w:numPr>
          <w:ilvl w:val="0"/>
          <w:numId w:val="23"/>
        </w:numPr>
        <w:rPr/>
      </w:pPr>
      <w:r>
        <w:rPr/>
        <w:t xml:space="preserve">이 지침은 </w:t>
      </w:r>
      <w:r>
        <w:rPr/>
        <w:t>2016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</w:p>
    <w:p>
      <w:pPr>
        <w:pStyle w:val="Normal"/>
        <w:numPr>
          <w:ilvl w:val="0"/>
          <w:numId w:val="24"/>
        </w:numPr>
        <w:rPr/>
      </w:pPr>
      <w:r>
        <w:rPr/>
        <w:t xml:space="preserve">공시는 </w:t>
      </w:r>
      <w:r>
        <w:rPr/>
        <w:t>2014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</w:t>
      </w:r>
      <w:r>
        <w:rPr/>
        <w:t>일부터 기산한다</w:t>
      </w:r>
      <w:r>
        <w:rPr/>
        <w:t>.</w:t>
      </w:r>
    </w:p>
    <w:p>
      <w:pPr>
        <w:pStyle w:val="Normal"/>
        <w:numPr>
          <w:ilvl w:val="0"/>
          <w:numId w:val="25"/>
        </w:numPr>
        <w:rPr/>
      </w:pPr>
      <w:r>
        <w:rPr/>
        <w:t>이 지침의 시행으로 기존 「거래상대방에 대한 이익제공 및 수령 보고 제도」는 종료한다</w:t>
      </w:r>
      <w:r>
        <w:rPr/>
        <w:t>.</w:t>
      </w:r>
      <w:bookmarkEnd w:id="1"/>
    </w:p>
    <w:p>
      <w:pPr>
        <w:pStyle w:val="Heading2"/>
        <w:rPr/>
      </w:pPr>
      <w:bookmarkStart w:id="2" w:name="부-칙-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2016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  <w:bookmarkEnd w:id="2"/>
    </w:p>
    <w:p>
      <w:pPr>
        <w:pStyle w:val="Heading2"/>
        <w:rPr/>
      </w:pPr>
      <w:bookmarkStart w:id="3" w:name="부-칙-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2016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3"/>
    </w:p>
    <w:p>
      <w:pPr>
        <w:pStyle w:val="Heading2"/>
        <w:rPr/>
      </w:pPr>
      <w:bookmarkStart w:id="4" w:name="부-칙-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2017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7</w:t>
      </w:r>
      <w:r>
        <w:rPr/>
        <w:t>일부터 시행한다</w:t>
      </w:r>
      <w:r>
        <w:rPr/>
        <w:t>.</w:t>
      </w:r>
      <w:bookmarkEnd w:id="4"/>
    </w:p>
    <w:p>
      <w:pPr>
        <w:pStyle w:val="Heading2"/>
        <w:rPr/>
      </w:pPr>
      <w:bookmarkStart w:id="5" w:name="부-칙-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2019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5"/>
    </w:p>
    <w:p>
      <w:pPr>
        <w:pStyle w:val="Heading2"/>
        <w:rPr/>
      </w:pPr>
      <w:bookmarkStart w:id="6" w:name="부-칙-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2020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6"/>
    </w:p>
    <w:p>
      <w:pPr>
        <w:pStyle w:val="Heading2"/>
        <w:rPr/>
      </w:pPr>
      <w:bookmarkStart w:id="7" w:name="부-칙-6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7"/>
    </w:p>
    <w:p>
      <w:pPr>
        <w:pStyle w:val="Heading2"/>
        <w:rPr/>
      </w:pPr>
      <w:bookmarkStart w:id="8" w:name="부-칙-7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2023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8"/>
    </w:p>
    <w:p>
      <w:pPr>
        <w:pStyle w:val="Heading2"/>
        <w:rPr/>
      </w:pPr>
      <w:bookmarkStart w:id="9" w:name="부-칙-8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지침은 </w:t>
      </w:r>
      <w:r>
        <w:rPr/>
        <w:t>2023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  <w:bookmarkEnd w:id="0"/>
      <w:bookmarkEnd w:id="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2"/>
    <w:lvlOverride w:ilvl="0">
      <w:startOverride w:val="2"/>
    </w:lvlOverride>
  </w:num>
  <w:num w:numId="15">
    <w:abstractNumId w:val="3"/>
    <w:lvlOverride w:ilvl="0">
      <w:startOverride w:val="3"/>
    </w:lvlOverride>
  </w:num>
  <w:num w:numId="16">
    <w:abstractNumId w:val="4"/>
    <w:lvlOverride w:ilvl="0">
      <w:startOverride w:val="4"/>
    </w:lvlOverride>
  </w:num>
  <w:num w:numId="17">
    <w:abstractNumId w:val="5"/>
    <w:lvlOverride w:ilvl="0">
      <w:startOverride w:val="1"/>
    </w:lvlOverride>
  </w:num>
  <w:num w:numId="18">
    <w:abstractNumId w:val="6"/>
    <w:lvlOverride w:ilvl="0">
      <w:startOverride w:val="5"/>
    </w:lvlOverride>
  </w:num>
  <w:num w:numId="19">
    <w:abstractNumId w:val="7"/>
    <w:lvlOverride w:ilvl="0">
      <w:startOverride w:val="6"/>
    </w:lvlOverride>
  </w:num>
  <w:num w:numId="20">
    <w:abstractNumId w:val="8"/>
    <w:lvlOverride w:ilvl="0">
      <w:startOverride w:val="7"/>
    </w:lvlOverride>
  </w:num>
  <w:num w:numId="21">
    <w:abstractNumId w:val="9"/>
    <w:lvlOverride w:ilvl="0">
      <w:startOverride w:val="8"/>
    </w:lvlOverride>
  </w:num>
  <w:num w:numId="22">
    <w:abstractNumId w:val="10"/>
    <w:lvlOverride w:ilvl="0">
      <w:startOverride w:val="9"/>
    </w:lvlOverride>
  </w:num>
  <w:num w:numId="23">
    <w:abstractNumId w:val="1"/>
    <w:lvlOverride w:ilvl="0">
      <w:startOverride w:val="1"/>
    </w:lvlOverride>
  </w:num>
  <w:num w:numId="24">
    <w:abstractNumId w:val="1"/>
  </w:num>
  <w:num w:numId="2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