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내부통제위원회규정"/>
      <w:r>
        <w:rPr/>
        <w:t>내부통제위원회규정</w:t>
      </w:r>
    </w:p>
    <w:p>
      <w:pPr>
        <w:pStyle w:val="FirstParagraph"/>
        <w:rPr/>
      </w:pPr>
      <w:r>
        <w:rPr/>
        <w:t xml:space="preserve">ㆍ제정 </w:t>
      </w:r>
      <w:r>
        <w:rPr/>
        <w:t>2023.10.19.</w:t>
      </w:r>
    </w:p>
    <w:p>
      <w:pPr>
        <w:pStyle w:val="BodyText"/>
        <w:rPr/>
      </w:pPr>
      <w:r>
        <w:rPr/>
        <w:t xml:space="preserve">ㆍ개정 </w:t>
      </w:r>
      <w:r>
        <w:rPr/>
        <w:t>2024.08.07.</w:t>
      </w:r>
    </w:p>
    <w:p>
      <w:pPr>
        <w:pStyle w:val="BodyText"/>
        <w:rPr/>
      </w:pPr>
      <w:r>
        <w:rPr/>
        <w:t xml:space="preserve">ㆍ개정 </w:t>
      </w:r>
      <w:r>
        <w:rPr/>
        <w:t>2024.10.18.</w:t>
      </w:r>
    </w:p>
    <w:p>
      <w:pPr>
        <w:pStyle w:val="BodyText"/>
        <w:rPr/>
      </w:pPr>
      <w:r>
        <w:rPr/>
        <w:t xml:space="preserve">ㆍ개정 </w:t>
      </w:r>
      <w:r>
        <w:rPr/>
        <w:t>2025.02.06.</w:t>
      </w:r>
    </w:p>
    <w:p>
      <w:pPr>
        <w:pStyle w:val="BodyText"/>
        <w:rPr/>
      </w:pPr>
      <w:r>
        <w:rPr/>
        <w:t xml:space="preserve">ㆍ개정 </w:t>
      </w:r>
      <w:r>
        <w:rPr/>
        <w:t>2025.12.26.</w:t>
      </w:r>
    </w:p>
    <w:p>
      <w:pPr>
        <w:pStyle w:val="BodyText"/>
        <w:rPr/>
      </w:pPr>
      <w:r>
        <w:rPr/>
        <w:t>제</w:t>
      </w:r>
      <w:r>
        <w:rPr/>
        <w:t>1</w:t>
      </w:r>
      <w:r>
        <w:rPr/>
        <w:t>조（목적）</w:t>
      </w:r>
    </w:p>
    <w:p>
      <w:pPr>
        <w:pStyle w:val="BodyText"/>
        <w:rPr/>
      </w:pPr>
      <w:r>
        <w:rPr/>
        <w:t>이 규정은 「금융회사의 지배구조에 관한 법률」</w:t>
      </w:r>
      <w:r>
        <w:rPr/>
        <w:t>(</w:t>
      </w:r>
      <w:r>
        <w:rPr/>
        <w:t>이하 “지배구조법”이라 한다</w:t>
      </w:r>
      <w:r>
        <w:rPr/>
        <w:t xml:space="preserve">) </w:t>
      </w:r>
      <w:r>
        <w:rPr/>
        <w:t>제</w:t>
      </w:r>
      <w:r>
        <w:rPr/>
        <w:t>22</w:t>
      </w:r>
      <w:r>
        <w:rPr/>
        <w:t>조의</w:t>
      </w:r>
      <w:r>
        <w:rPr/>
        <w:t xml:space="preserve">2, </w:t>
      </w:r>
      <w:r>
        <w:rPr/>
        <w:t>정관 및 이사회 규정에 따라 설치된 내부통제위원회（이하 “위원회”라 한다）의 구성 및 운영에 관한 사항을 정함을 목적으로 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2</w:t>
      </w:r>
      <w:r>
        <w:rPr/>
        <w:t>조（적용범위）</w:t>
      </w:r>
    </w:p>
    <w:p>
      <w:pPr>
        <w:pStyle w:val="BodyText"/>
        <w:rPr/>
      </w:pPr>
      <w:r>
        <w:rPr/>
        <w:t>위원회에 관한 사항은 지배구조법 등 관련 법령</w:t>
      </w:r>
      <w:r>
        <w:rPr/>
        <w:t xml:space="preserve">, </w:t>
      </w:r>
      <w:r>
        <w:rPr/>
        <w:t>정관 및 이사회 규정에서 정한 것을 제외하고는 이 규정이 정하는 바에 따른다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3</w:t>
      </w:r>
      <w:r>
        <w:rPr/>
        <w:t>조（구성）</w:t>
      </w:r>
    </w:p>
    <w:p>
      <w:pPr>
        <w:pStyle w:val="SourceCode"/>
        <w:rPr/>
      </w:pPr>
      <w:r>
        <w:rPr>
          <w:rStyle w:val="VerbatimChar"/>
        </w:rPr>
        <w:t xml:space="preserve">- </w:t>
      </w:r>
      <w:r>
        <w:rPr>
          <w:rStyle w:val="VerbatimChar"/>
        </w:rPr>
        <w:t xml:space="preserve">위원회는 </w:t>
      </w:r>
      <w:r>
        <w:rPr>
          <w:rStyle w:val="VerbatimChar"/>
        </w:rPr>
        <w:t>3</w:t>
      </w:r>
      <w:r>
        <w:rPr>
          <w:rStyle w:val="VerbatimChar"/>
        </w:rPr>
        <w:t>인 이상의 이사로 구성하되</w:t>
      </w:r>
      <w:r>
        <w:rPr>
          <w:rStyle w:val="VerbatimChar"/>
        </w:rPr>
        <w:t xml:space="preserve">, </w:t>
      </w:r>
      <w:r>
        <w:rPr>
          <w:rStyle w:val="VerbatimChar"/>
        </w:rPr>
        <w:t>위원의 과반수 이상은 사외이사로 구성한다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- </w:t>
      </w:r>
      <w:r>
        <w:rPr>
          <w:rStyle w:val="VerbatimChar"/>
        </w:rPr>
        <w:t>제</w:t>
      </w:r>
      <w:r>
        <w:rPr>
          <w:rStyle w:val="VerbatimChar"/>
        </w:rPr>
        <w:t>1</w:t>
      </w:r>
      <w:r>
        <w:rPr>
          <w:rStyle w:val="VerbatimChar"/>
        </w:rPr>
        <w:t>항에도 불구하고 지배구조법 등 관련 법령에 따라 달리 운영할 수 있다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4</w:t>
      </w:r>
      <w:r>
        <w:rPr/>
        <w:t>조（위원장）</w:t>
      </w:r>
    </w:p>
    <w:p>
      <w:pPr>
        <w:pStyle w:val="SourceCode"/>
        <w:rPr/>
      </w:pPr>
      <w:r>
        <w:rPr>
          <w:rStyle w:val="VerbatimChar"/>
        </w:rPr>
        <w:t xml:space="preserve">            ① </w:t>
      </w:r>
      <w:r>
        <w:rPr>
          <w:rStyle w:val="VerbatimChar"/>
        </w:rPr>
        <w:t>위원회의 위원장은 사외이사인 위원 중에서 호선하여 선임한다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② </w:t>
      </w:r>
      <w:r>
        <w:rPr>
          <w:rStyle w:val="VerbatimChar"/>
        </w:rPr>
        <w:t xml:space="preserve">위원장의 임기는 </w:t>
      </w:r>
      <w:r>
        <w:rPr>
          <w:rStyle w:val="VerbatimChar"/>
        </w:rPr>
        <w:t>1</w:t>
      </w:r>
      <w:r>
        <w:rPr>
          <w:rStyle w:val="VerbatimChar"/>
        </w:rPr>
        <w:t>년으로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  ③ </w:t>
      </w:r>
      <w:r>
        <w:rPr>
          <w:rStyle w:val="VerbatimChar"/>
        </w:rPr>
        <w:t>위원장이 부재중이거나 유고 시에는 위원회 소속 사외이사 중에서 연장자 순으로 그 직무를 대행한다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5</w:t>
      </w:r>
      <w:r>
        <w:rPr/>
        <w:t>조（역할 및 책임）</w:t>
      </w:r>
    </w:p>
    <w:p>
      <w:pPr>
        <w:pStyle w:val="BodyText"/>
        <w:rPr/>
      </w:pPr>
      <w:r>
        <w:rPr/>
        <w:t>위원회는 은행 내부통제에 대한 의사결정기구로서</w:t>
      </w:r>
      <w:r>
        <w:rPr/>
        <w:t xml:space="preserve">, </w:t>
      </w:r>
      <w:r>
        <w:rPr/>
        <w:t>내부통제 기본방침 및 전략을 수립하고</w:t>
      </w:r>
      <w:r>
        <w:rPr/>
        <w:t xml:space="preserve">, </w:t>
      </w:r>
      <w:r>
        <w:rPr/>
        <w:t>지배구조법에 따른 은행장 및 임원의 내부통제 등 관리조치와 보고의무가 적절히 수행되고 있는지 여부를 점검∙평가하며 미흡한 사항에 대하여 개선조치를 요구하는 등 내부통제 전반사항의 적정성을 감독한다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6</w:t>
      </w:r>
      <w:r>
        <w:rPr/>
        <w:t>조（위원 아닌 자의 출석）</w:t>
      </w:r>
    </w:p>
    <w:p>
      <w:pPr>
        <w:pStyle w:val="SourceCode"/>
        <w:rPr/>
      </w:pPr>
      <w:r>
        <w:rPr>
          <w:rStyle w:val="VerbatimChar"/>
        </w:rPr>
        <w:t xml:space="preserve">        ① </w:t>
      </w:r>
      <w:r>
        <w:rPr>
          <w:rStyle w:val="VerbatimChar"/>
        </w:rPr>
        <w:t>위원회는 필요한 경우 관련 임직원 또는 외부인사를 출석시켜 의견을 청취할 수 있으며</w:t>
      </w:r>
      <w:r>
        <w:rPr>
          <w:rStyle w:val="VerbatimChar"/>
        </w:rPr>
        <w:t xml:space="preserve">, </w:t>
      </w:r>
      <w:r>
        <w:rPr>
          <w:rStyle w:val="VerbatimChar"/>
        </w:rPr>
        <w:t>은행의 비용으로 외부의 인적</w:t>
      </w:r>
      <w:r>
        <w:rPr>
          <w:rStyle w:val="VerbatimChar"/>
        </w:rPr>
        <w:t>·</w:t>
      </w:r>
      <w:r>
        <w:rPr>
          <w:rStyle w:val="VerbatimChar"/>
        </w:rPr>
        <w:t>물적자원을 활용할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          ② </w:t>
      </w:r>
      <w:r>
        <w:rPr>
          <w:rStyle w:val="VerbatimChar"/>
        </w:rPr>
        <w:t>위원회는 내부통제 강화를 위하여 은행의 비용으로 내부통제에 관한 외부전문가를 위촉할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③ </w:t>
      </w:r>
      <w:r>
        <w:rPr>
          <w:rStyle w:val="VerbatimChar"/>
        </w:rPr>
        <w:t>각 그룹의 장 및 부서장은 위원회에 출석하여 상정된 의안에 대한 설명을 할 수 있다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7</w:t>
      </w:r>
      <w:r>
        <w:rPr/>
        <w:t>조（소집）</w:t>
      </w:r>
    </w:p>
    <w:p>
      <w:pPr>
        <w:pStyle w:val="SourceCode"/>
        <w:rPr/>
      </w:pPr>
      <w:r>
        <w:rPr>
          <w:rStyle w:val="VerbatimChar"/>
        </w:rPr>
        <w:t xml:space="preserve">                        ① </w:t>
      </w:r>
      <w:r>
        <w:rPr>
          <w:rStyle w:val="VerbatimChar"/>
        </w:rPr>
        <w:t xml:space="preserve">위원회는 반기 </w:t>
      </w:r>
      <w:r>
        <w:rPr>
          <w:rStyle w:val="VerbatimChar"/>
        </w:rPr>
        <w:t>1</w:t>
      </w:r>
      <w:r>
        <w:rPr>
          <w:rStyle w:val="VerbatimChar"/>
        </w:rPr>
        <w:t>회 정기회의를 개최하며 위원장이 소집한다（다만</w:t>
      </w:r>
      <w:r>
        <w:rPr>
          <w:rStyle w:val="VerbatimChar"/>
        </w:rPr>
        <w:t xml:space="preserve">, </w:t>
      </w:r>
      <w:r>
        <w:rPr>
          <w:rStyle w:val="VerbatimChar"/>
        </w:rPr>
        <w:t>최초로 개최되는 위원회는 이사회 의장이 소집한다</w:t>
      </w:r>
      <w:r>
        <w:rPr>
          <w:rStyle w:val="VerbatimChar"/>
        </w:rPr>
        <w:t>.</w:t>
      </w:r>
      <w:r>
        <w:rPr>
          <w:rStyle w:val="VerbatimChar"/>
        </w:rPr>
        <w:t>）</w:t>
      </w:r>
      <w:r>
        <w:rPr/>
        <w:br/>
        <w:br/>
      </w:r>
      <w:r>
        <w:rPr>
          <w:rStyle w:val="VerbatimChar"/>
        </w:rPr>
        <w:t xml:space="preserve">                        ② </w:t>
      </w:r>
      <w:r>
        <w:rPr>
          <w:rStyle w:val="VerbatimChar"/>
        </w:rPr>
        <w:t>위원회는 위원장이 필요하다고 인정하는 경우에는 수시로 소집할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③ </w:t>
      </w:r>
      <w:r>
        <w:rPr>
          <w:rStyle w:val="VerbatimChar"/>
        </w:rPr>
        <w:t>회의를 소집할 때에는 회의일시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장소 및 목적사항을 기재한 통지서를 안건 및 관련 자료와 함께 회의개최 </w:t>
      </w:r>
      <w:r>
        <w:rPr>
          <w:rStyle w:val="VerbatimChar"/>
        </w:rPr>
        <w:t>1</w:t>
      </w:r>
      <w:r>
        <w:rPr>
          <w:rStyle w:val="VerbatimChar"/>
        </w:rPr>
        <w:t>주일 전까지 각 위원에게 발송하여야 한다</w:t>
      </w:r>
      <w:r>
        <w:rPr>
          <w:rStyle w:val="VerbatimChar"/>
        </w:rPr>
        <w:t xml:space="preserve">. </w:t>
      </w:r>
      <w:r>
        <w:rPr>
          <w:rStyle w:val="VerbatimChar"/>
        </w:rPr>
        <w:t>단</w:t>
      </w:r>
      <w:r>
        <w:rPr>
          <w:rStyle w:val="VerbatimChar"/>
        </w:rPr>
        <w:t xml:space="preserve">, </w:t>
      </w:r>
      <w:r>
        <w:rPr>
          <w:rStyle w:val="VerbatimChar"/>
        </w:rPr>
        <w:t>긴급한 사유가 있을 때에는 그 기간을 단축할 수 있으며</w:t>
      </w:r>
      <w:r>
        <w:rPr>
          <w:rStyle w:val="VerbatimChar"/>
        </w:rPr>
        <w:t xml:space="preserve">, </w:t>
      </w:r>
      <w:r>
        <w:rPr>
          <w:rStyle w:val="VerbatimChar"/>
        </w:rPr>
        <w:t>위원 전원의 동의가 있을 때에는 통지의 절차를 생략할 수 있다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8</w:t>
      </w:r>
      <w:r>
        <w:rPr/>
        <w:t>조（결의사항 등）</w:t>
      </w:r>
    </w:p>
    <w:p>
      <w:pPr>
        <w:pStyle w:val="SourceCode"/>
        <w:rPr/>
      </w:pPr>
      <w:r>
        <w:rPr>
          <w:rStyle w:val="VerbatimChar"/>
        </w:rPr>
        <w:t xml:space="preserve">① </w:t>
      </w:r>
      <w:r>
        <w:rPr>
          <w:rStyle w:val="VerbatimChar"/>
        </w:rPr>
        <w:t>위원회는 다음 각 호의 사항을 심의하고 이에 대해 결의한다</w:t>
      </w:r>
      <w:r>
        <w:rPr>
          <w:rStyle w:val="VerbatimChar"/>
        </w:rPr>
        <w:t xml:space="preserve">. </w:t>
      </w:r>
      <w:r>
        <w:rPr>
          <w:rStyle w:val="VerbatimChar"/>
        </w:rPr>
        <w:t>다만</w:t>
      </w:r>
      <w:r>
        <w:rPr>
          <w:rStyle w:val="VerbatimChar"/>
        </w:rPr>
        <w:t xml:space="preserve">, </w:t>
      </w:r>
      <w:r>
        <w:rPr>
          <w:rStyle w:val="VerbatimChar"/>
        </w:rPr>
        <w:t>위원회가 필요하다고 판단하는 경우 이사회에 결의사항으로 부의할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1. </w:t>
      </w:r>
      <w:r>
        <w:rPr>
          <w:rStyle w:val="VerbatimChar"/>
        </w:rPr>
        <w:t>내부통제 기본방침 및 전략 수립</w:t>
      </w:r>
      <w:r>
        <w:rPr/>
        <w:br/>
        <w:br/>
      </w:r>
      <w:r>
        <w:rPr>
          <w:rStyle w:val="VerbatimChar"/>
        </w:rPr>
        <w:t xml:space="preserve">2. </w:t>
      </w:r>
      <w:r>
        <w:rPr>
          <w:rStyle w:val="VerbatimChar"/>
        </w:rPr>
        <w:t>임직원 직업윤리와 준법정신을 중시하는 조직문화의 정착방안</w:t>
      </w:r>
      <w:r>
        <w:rPr/>
        <w:br/>
        <w:br/>
      </w:r>
      <w:r>
        <w:rPr>
          <w:rStyle w:val="VerbatimChar"/>
        </w:rPr>
        <w:t xml:space="preserve">3. </w:t>
      </w:r>
      <w:r>
        <w:rPr>
          <w:rStyle w:val="VerbatimChar"/>
        </w:rPr>
        <w:t>지배구조내부규범의 마련 및 변경</w:t>
      </w:r>
      <w:r>
        <w:rPr/>
        <w:br/>
        <w:br/>
      </w:r>
      <w:r>
        <w:rPr>
          <w:rStyle w:val="VerbatimChar"/>
        </w:rPr>
        <w:t xml:space="preserve">4. </w:t>
      </w:r>
      <w:r>
        <w:rPr>
          <w:rStyle w:val="VerbatimChar"/>
        </w:rPr>
        <w:t>내부통제규정의 제정 및 개정</w:t>
      </w:r>
      <w:r>
        <w:rPr/>
        <w:br/>
        <w:br/>
      </w:r>
      <w:r>
        <w:rPr>
          <w:rStyle w:val="VerbatimChar"/>
        </w:rPr>
        <w:t xml:space="preserve">5. </w:t>
      </w:r>
      <w:r>
        <w:rPr>
          <w:rStyle w:val="VerbatimChar"/>
        </w:rPr>
        <w:t>그 밖에 법령에서 정하는 사항</w:t>
      </w:r>
      <w:r>
        <w:rPr/>
        <w:br/>
        <w:br/>
      </w:r>
      <w:r>
        <w:rPr>
          <w:rStyle w:val="VerbatimChar"/>
        </w:rPr>
        <w:t xml:space="preserve">② </w:t>
      </w:r>
      <w:r>
        <w:rPr>
          <w:rStyle w:val="VerbatimChar"/>
        </w:rPr>
        <w:t>위원회 보고사항은 다음 각 호로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1. </w:t>
      </w:r>
      <w:r>
        <w:rPr>
          <w:rStyle w:val="VerbatimChar"/>
        </w:rPr>
        <w:t>내부통제위원회 결의사항의 집행결과 및 실적</w:t>
      </w:r>
      <w:r>
        <w:rPr>
          <w:rStyle w:val="VerbatimChar"/>
        </w:rPr>
        <w:t>(</w:t>
      </w:r>
      <w:r>
        <w:rPr>
          <w:rStyle w:val="VerbatimChar"/>
        </w:rPr>
        <w:t>단</w:t>
      </w:r>
      <w:r>
        <w:rPr>
          <w:rStyle w:val="VerbatimChar"/>
        </w:rPr>
        <w:t xml:space="preserve">, </w:t>
      </w:r>
      <w:r>
        <w:rPr>
          <w:rStyle w:val="VerbatimChar"/>
        </w:rPr>
        <w:t>미시행시 그 사유 및 향후 계획을 보고</w:t>
      </w:r>
      <w:r>
        <w:rPr>
          <w:rStyle w:val="VerbatimChar"/>
        </w:rPr>
        <w:t>)</w:t>
      </w:r>
    </w:p>
    <w:p>
      <w:pPr>
        <w:pStyle w:val="Normal"/>
        <w:numPr>
          <w:ilvl w:val="0"/>
          <w:numId w:val="3"/>
        </w:numPr>
        <w:rPr/>
      </w:pPr>
      <w:r>
        <w:rPr/>
        <w:t>내부통제협의회의 결과 및 주요사항</w:t>
      </w:r>
    </w:p>
    <w:p>
      <w:pPr>
        <w:pStyle w:val="Normal"/>
        <w:numPr>
          <w:ilvl w:val="0"/>
          <w:numId w:val="1"/>
        </w:numPr>
        <w:rPr/>
      </w:pPr>
      <w:r>
        <w:rPr/>
        <w:t>법령 또는 다른 규정에 의하여 위원회의 보고를 요구하는 사항</w:t>
      </w:r>
    </w:p>
    <w:p>
      <w:pPr>
        <w:pStyle w:val="Normal"/>
        <w:numPr>
          <w:ilvl w:val="0"/>
          <w:numId w:val="1"/>
        </w:numPr>
        <w:rPr/>
      </w:pPr>
      <w:r>
        <w:rPr/>
        <w:t>기타 이사회 또는 위원회가 필요하다고 인정하는 사항</w:t>
      </w:r>
    </w:p>
    <w:p>
      <w:pPr>
        <w:pStyle w:val="FirstParagraph"/>
        <w:rPr/>
      </w:pPr>
      <w:r>
        <w:rPr/>
        <w:t>제</w:t>
      </w:r>
      <w:r>
        <w:rPr/>
        <w:t>9</w:t>
      </w:r>
      <w:r>
        <w:rPr/>
        <w:t>조（심의•의결 방법）</w:t>
      </w:r>
    </w:p>
    <w:p>
      <w:pPr>
        <w:pStyle w:val="SourceCode"/>
        <w:rPr/>
      </w:pPr>
      <w:r>
        <w:rPr>
          <w:rStyle w:val="VerbatimChar"/>
        </w:rPr>
        <w:t xml:space="preserve">① </w:t>
      </w:r>
      <w:r>
        <w:rPr>
          <w:rStyle w:val="VerbatimChar"/>
        </w:rPr>
        <w:t>위원회는 재적위원 과반수의 출석과 출석위원 과반수의 찬성으로 결의한다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                                              ② </w:t>
      </w:r>
      <w:r>
        <w:rPr>
          <w:rStyle w:val="VerbatimChar"/>
        </w:rPr>
        <w:t>위원회는 위원의 전부 또는 일부가 직접 회의에 출석하지 아니하고 모든 위원이 음성을 동시에 송</w:t>
      </w:r>
      <w:r>
        <w:rPr>
          <w:rStyle w:val="VerbatimChar"/>
        </w:rPr>
        <w:t>·</w:t>
      </w:r>
      <w:r>
        <w:rPr>
          <w:rStyle w:val="VerbatimChar"/>
        </w:rPr>
        <w:t>수신하는 통신수단을 이용하여 결의에 참가하는 것을 허용할 수 있으며</w:t>
      </w:r>
      <w:r>
        <w:rPr>
          <w:rStyle w:val="VerbatimChar"/>
        </w:rPr>
        <w:t xml:space="preserve">, </w:t>
      </w:r>
      <w:r>
        <w:rPr>
          <w:rStyle w:val="VerbatimChar"/>
        </w:rPr>
        <w:t>이 경우 당해 위원은 위원회에 직접 출석한 것으로 간주한다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              ③ </w:t>
      </w:r>
      <w:r>
        <w:rPr>
          <w:rStyle w:val="VerbatimChar"/>
        </w:rPr>
        <w:t>위원회 위원 중 결의사항에 대하여 이해관계가 있는 자는 의결권을 행사할 수 없다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④ </w:t>
      </w:r>
      <w:r>
        <w:rPr>
          <w:rStyle w:val="VerbatimChar"/>
        </w:rPr>
        <w:t>제</w:t>
      </w:r>
      <w:r>
        <w:rPr>
          <w:rStyle w:val="VerbatimChar"/>
        </w:rPr>
        <w:t>3</w:t>
      </w:r>
      <w:r>
        <w:rPr>
          <w:rStyle w:val="VerbatimChar"/>
        </w:rPr>
        <w:t>항의 규정에 의하여 의결권을 행사할 수 없는 위원의 수는 출석한 위원의 수에 산입하지 아니한다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⑤ </w:t>
      </w:r>
      <w:r>
        <w:rPr>
          <w:rStyle w:val="VerbatimChar"/>
        </w:rPr>
        <w:t>위원회의 회의내용 및 결과는 이사회에 보고하여야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⑥ </w:t>
      </w:r>
      <w:r>
        <w:rPr>
          <w:rStyle w:val="VerbatimChar"/>
        </w:rPr>
        <w:t>위원회의 결의사항은 해당부서에서 시행하고 그 결과를 위원회에 보고한다</w:t>
      </w:r>
      <w:r>
        <w:rPr>
          <w:rStyle w:val="VerbatimChar"/>
        </w:rPr>
        <w:t xml:space="preserve">. </w:t>
      </w:r>
      <w:r>
        <w:rPr>
          <w:rStyle w:val="VerbatimChar"/>
        </w:rPr>
        <w:t>단</w:t>
      </w:r>
      <w:r>
        <w:rPr>
          <w:rStyle w:val="VerbatimChar"/>
        </w:rPr>
        <w:t xml:space="preserve">, </w:t>
      </w:r>
      <w:r>
        <w:rPr>
          <w:rStyle w:val="VerbatimChar"/>
        </w:rPr>
        <w:t>해당부서에서 결의사항을 시행하지 못했을 경우에는 그 사유 및 향후 계획을 위원회에 보고하여야 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10</w:t>
      </w:r>
      <w:r>
        <w:rPr/>
        <w:t>조（지원부서）</w:t>
      </w:r>
    </w:p>
    <w:p>
      <w:pPr>
        <w:pStyle w:val="SourceCode"/>
        <w:rPr/>
      </w:pPr>
      <w:r>
        <w:rPr>
          <w:rStyle w:val="VerbatimChar"/>
        </w:rPr>
        <w:t xml:space="preserve">① </w:t>
      </w:r>
      <w:r>
        <w:rPr>
          <w:rStyle w:val="VerbatimChar"/>
        </w:rPr>
        <w:t>준법감시인은 위원회에 참석하여 회의진행을 지원한다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② </w:t>
      </w:r>
      <w:r>
        <w:rPr>
          <w:rStyle w:val="VerbatimChar"/>
        </w:rPr>
        <w:t>준법감시부는 위원회 관련 사무 전반을 지원한다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제</w:t>
      </w:r>
      <w:r>
        <w:rPr/>
        <w:t>11</w:t>
      </w:r>
      <w:r>
        <w:rPr/>
        <w:t>조（의사록）</w:t>
      </w:r>
    </w:p>
    <w:p>
      <w:pPr>
        <w:pStyle w:val="SourceCode"/>
        <w:rPr/>
      </w:pPr>
      <w:r>
        <w:rPr>
          <w:rStyle w:val="VerbatimChar"/>
        </w:rPr>
        <w:t xml:space="preserve">    ① </w:t>
      </w:r>
      <w:r>
        <w:rPr>
          <w:rStyle w:val="VerbatimChar"/>
        </w:rPr>
        <w:t>지원부서는 위원회의 의사에 관하여 의사록을 작성하고</w:t>
      </w:r>
      <w:r>
        <w:rPr>
          <w:rStyle w:val="VerbatimChar"/>
        </w:rPr>
        <w:t xml:space="preserve">, </w:t>
      </w:r>
      <w:r>
        <w:rPr>
          <w:rStyle w:val="VerbatimChar"/>
        </w:rPr>
        <w:t>이사회 사무국장은 이를 통합하여 관리한다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② </w:t>
      </w:r>
      <w:r>
        <w:rPr>
          <w:rStyle w:val="VerbatimChar"/>
        </w:rPr>
        <w:t>의사록 작성방법 및 회의결과 통지에 관한 사항은 이사회 규정을 준용한다</w:t>
      </w:r>
      <w:r>
        <w:rPr>
          <w:rStyle w:val="VerbatimChar"/>
        </w:rPr>
        <w:t>.</w:t>
      </w:r>
    </w:p>
    <w:p>
      <w:pPr>
        <w:pStyle w:val="Heading3"/>
        <w:rPr/>
      </w:pPr>
      <w:bookmarkStart w:id="1" w:name="제12조규정의-개폐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규정의 개폐</w:t>
      </w:r>
      <w:r>
        <w:rPr/>
        <w:t>)</w:t>
      </w:r>
    </w:p>
    <w:p>
      <w:pPr>
        <w:pStyle w:val="FirstParagraph"/>
        <w:rPr/>
      </w:pPr>
      <w:r>
        <w:rPr/>
        <w:t>이 규정의 개정 및 폐지는 이사회의 결의에 의한다</w:t>
      </w:r>
      <w:r>
        <w:rPr/>
        <w:t xml:space="preserve">. </w:t>
      </w:r>
      <w:r>
        <w:rPr/>
        <w:t>그러나</w:t>
      </w:r>
      <w:r>
        <w:rPr/>
        <w:t xml:space="preserve">, </w:t>
      </w:r>
      <w:r>
        <w:rPr/>
        <w:t>법령 및 내규의 개정에 따른 단순한 자구</w:t>
      </w:r>
    </w:p>
    <w:p>
      <w:pPr>
        <w:pStyle w:val="BodyText"/>
        <w:rPr/>
      </w:pPr>
      <w:r>
        <w:rPr/>
        <w:t>수정 등의 경우에는 준법감시인이 변경할 수 있으며 이를 내부통제위원회 및 이사회에 보고한다</w:t>
      </w:r>
      <w:r>
        <w:rPr/>
        <w:t>.</w:t>
      </w:r>
      <w:bookmarkEnd w:id="1"/>
    </w:p>
    <w:p>
      <w:pPr>
        <w:pStyle w:val="Heading2"/>
        <w:rPr/>
      </w:pPr>
      <w:bookmarkStart w:id="2" w:name="부-칙"/>
      <w:r>
        <w:rPr/>
        <w:t>부 칙</w:t>
      </w:r>
    </w:p>
    <w:p>
      <w:pPr>
        <w:pStyle w:val="SourceCode"/>
        <w:rPr/>
      </w:pPr>
      <w:r>
        <w:rPr>
          <w:rStyle w:val="VerbatimChar"/>
        </w:rPr>
        <w:t xml:space="preserve">이 규정은 </w:t>
      </w:r>
      <w:r>
        <w:rPr>
          <w:rStyle w:val="VerbatimChar"/>
        </w:rPr>
        <w:t>2023</w:t>
      </w:r>
      <w:r>
        <w:rPr>
          <w:rStyle w:val="VerbatimChar"/>
        </w:rPr>
        <w:t xml:space="preserve">년 </w:t>
      </w:r>
      <w:r>
        <w:rPr>
          <w:rStyle w:val="VerbatimChar"/>
        </w:rPr>
        <w:t>10</w:t>
      </w:r>
      <w:r>
        <w:rPr>
          <w:rStyle w:val="VerbatimChar"/>
        </w:rPr>
        <w:t xml:space="preserve">월 </w:t>
      </w:r>
      <w:r>
        <w:rPr>
          <w:rStyle w:val="VerbatimChar"/>
        </w:rPr>
        <w:t>19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2"/>
    </w:p>
    <w:p>
      <w:pPr>
        <w:pStyle w:val="Heading2"/>
        <w:rPr/>
      </w:pPr>
      <w:bookmarkStart w:id="3" w:name="부-칙-1"/>
      <w:r>
        <w:rPr/>
        <w:t>부 칙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이 규정은 </w:t>
      </w:r>
      <w:r>
        <w:rPr>
          <w:rStyle w:val="VerbatimChar"/>
        </w:rPr>
        <w:t>2024</w:t>
      </w:r>
      <w:r>
        <w:rPr>
          <w:rStyle w:val="VerbatimChar"/>
        </w:rPr>
        <w:t xml:space="preserve">년 </w:t>
      </w:r>
      <w:r>
        <w:rPr>
          <w:rStyle w:val="VerbatimChar"/>
        </w:rPr>
        <w:t>8</w:t>
      </w:r>
      <w:r>
        <w:rPr>
          <w:rStyle w:val="VerbatimChar"/>
        </w:rPr>
        <w:t xml:space="preserve">월 </w:t>
      </w:r>
      <w:r>
        <w:rPr>
          <w:rStyle w:val="VerbatimChar"/>
        </w:rPr>
        <w:t>7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3"/>
    </w:p>
    <w:p>
      <w:pPr>
        <w:pStyle w:val="Heading2"/>
        <w:rPr/>
      </w:pPr>
      <w:bookmarkStart w:id="4" w:name="부-칙-2"/>
      <w:r>
        <w:rPr/>
        <w:t>부 칙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이 규정은 </w:t>
      </w:r>
      <w:r>
        <w:rPr>
          <w:rStyle w:val="VerbatimChar"/>
        </w:rPr>
        <w:t>2024</w:t>
      </w:r>
      <w:r>
        <w:rPr>
          <w:rStyle w:val="VerbatimChar"/>
        </w:rPr>
        <w:t xml:space="preserve">년 </w:t>
      </w:r>
      <w:r>
        <w:rPr>
          <w:rStyle w:val="VerbatimChar"/>
        </w:rPr>
        <w:t>11</w:t>
      </w:r>
      <w:r>
        <w:rPr>
          <w:rStyle w:val="VerbatimChar"/>
        </w:rPr>
        <w:t xml:space="preserve">월 </w:t>
      </w:r>
      <w:r>
        <w:rPr>
          <w:rStyle w:val="VerbatimChar"/>
        </w:rPr>
        <w:t>18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4"/>
    </w:p>
    <w:p>
      <w:pPr>
        <w:pStyle w:val="Heading2"/>
        <w:rPr/>
      </w:pPr>
      <w:bookmarkStart w:id="5" w:name="부-칙-3"/>
      <w:r>
        <w:rPr/>
        <w:t>부 칙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이 규정은 </w:t>
      </w:r>
      <w:r>
        <w:rPr>
          <w:rStyle w:val="VerbatimChar"/>
        </w:rPr>
        <w:t>2025</w:t>
      </w:r>
      <w:r>
        <w:rPr>
          <w:rStyle w:val="VerbatimChar"/>
        </w:rPr>
        <w:t xml:space="preserve">년 </w:t>
      </w:r>
      <w:r>
        <w:rPr>
          <w:rStyle w:val="VerbatimChar"/>
        </w:rPr>
        <w:t>2</w:t>
      </w:r>
      <w:r>
        <w:rPr>
          <w:rStyle w:val="VerbatimChar"/>
        </w:rPr>
        <w:t xml:space="preserve">월 </w:t>
      </w:r>
      <w:r>
        <w:rPr>
          <w:rStyle w:val="VerbatimChar"/>
        </w:rPr>
        <w:t>6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5"/>
    </w:p>
    <w:p>
      <w:pPr>
        <w:pStyle w:val="Heading2"/>
        <w:rPr/>
      </w:pPr>
      <w:bookmarkStart w:id="6" w:name="부-칙-4"/>
      <w:r>
        <w:rPr/>
        <w:t>부 칙</w:t>
      </w:r>
    </w:p>
    <w:p>
      <w:pPr>
        <w:pStyle w:val="SourceCode"/>
        <w:spacing w:before="0" w:after="200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이 규정은 </w:t>
      </w:r>
      <w:r>
        <w:rPr>
          <w:rStyle w:val="VerbatimChar"/>
        </w:rPr>
        <w:t>2025</w:t>
      </w:r>
      <w:r>
        <w:rPr>
          <w:rStyle w:val="VerbatimChar"/>
        </w:rPr>
        <w:t xml:space="preserve">년 </w:t>
      </w:r>
      <w:r>
        <w:rPr>
          <w:rStyle w:val="VerbatimChar"/>
        </w:rPr>
        <w:t>12</w:t>
      </w:r>
      <w:r>
        <w:rPr>
          <w:rStyle w:val="VerbatimChar"/>
        </w:rPr>
        <w:t xml:space="preserve">월 </w:t>
      </w:r>
      <w:r>
        <w:rPr>
          <w:rStyle w:val="VerbatimChar"/>
        </w:rPr>
        <w:t>26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0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