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국제금융-및-파생상품-리스크관리지침"/>
      <w:r>
        <w:rPr/>
        <w:t>국제금융 및 파생상품 리스크관리지침</w:t>
      </w:r>
    </w:p>
    <w:p>
      <w:pPr>
        <w:pStyle w:val="FirstParagraph"/>
        <w:rPr/>
      </w:pPr>
      <w:r>
        <w:rPr/>
        <w:t xml:space="preserve">ㆍ제정 </w:t>
      </w:r>
      <w:r>
        <w:rPr/>
        <w:t>2010-01-29</w:t>
      </w:r>
    </w:p>
    <w:p>
      <w:pPr>
        <w:pStyle w:val="BodyText"/>
        <w:rPr/>
      </w:pPr>
      <w:r>
        <w:rPr/>
        <w:t xml:space="preserve">ㆍ제정 </w:t>
      </w:r>
      <w:r>
        <w:rPr/>
        <w:t>2010-08-18</w:t>
      </w:r>
    </w:p>
    <w:p>
      <w:pPr>
        <w:pStyle w:val="BodyText"/>
        <w:rPr/>
      </w:pPr>
      <w:r>
        <w:rPr/>
        <w:t xml:space="preserve">ㆍ개정 </w:t>
      </w:r>
      <w:r>
        <w:rPr/>
        <w:t>2014-02-03</w:t>
      </w:r>
    </w:p>
    <w:p>
      <w:pPr>
        <w:pStyle w:val="BodyText"/>
        <w:rPr/>
      </w:pPr>
      <w:r>
        <w:rPr/>
        <w:t xml:space="preserve">ㆍ개정 </w:t>
      </w:r>
      <w:r>
        <w:rPr/>
        <w:t>2015-01-01</w:t>
      </w:r>
    </w:p>
    <w:p>
      <w:pPr>
        <w:pStyle w:val="BodyText"/>
        <w:rPr/>
      </w:pPr>
      <w:r>
        <w:rPr/>
        <w:t xml:space="preserve">ㆍ개정 </w:t>
      </w:r>
      <w:r>
        <w:rPr/>
        <w:t>2016-01-01</w:t>
      </w:r>
    </w:p>
    <w:p>
      <w:pPr>
        <w:pStyle w:val="BodyText"/>
        <w:rPr/>
      </w:pPr>
      <w:r>
        <w:rPr/>
        <w:t xml:space="preserve">ㆍ개정 </w:t>
      </w:r>
      <w:r>
        <w:rPr/>
        <w:t>2016-10-27</w:t>
      </w:r>
    </w:p>
    <w:p>
      <w:pPr>
        <w:pStyle w:val="BodyText"/>
        <w:rPr/>
      </w:pPr>
      <w:r>
        <w:rPr/>
        <w:t xml:space="preserve">ㆍ개정 </w:t>
      </w:r>
      <w:r>
        <w:rPr/>
        <w:t>2018-01-01</w:t>
      </w:r>
    </w:p>
    <w:p>
      <w:pPr>
        <w:pStyle w:val="BodyText"/>
        <w:rPr/>
      </w:pPr>
      <w:r>
        <w:rPr/>
        <w:t xml:space="preserve">ㆍ개정 </w:t>
      </w:r>
      <w:r>
        <w:rPr/>
        <w:t>2019-12-01</w:t>
      </w:r>
    </w:p>
    <w:p>
      <w:pPr>
        <w:pStyle w:val="BodyText"/>
        <w:rPr/>
      </w:pPr>
      <w:r>
        <w:rPr/>
        <w:t xml:space="preserve">ㆍ개정 </w:t>
      </w:r>
      <w:r>
        <w:rPr/>
        <w:t>2024-03-05</w:t>
      </w:r>
    </w:p>
    <w:p>
      <w:pPr>
        <w:pStyle w:val="BodyText"/>
        <w:rPr/>
      </w:pPr>
      <w:r>
        <w:rPr/>
        <w:t xml:space="preserve">ㆍ개정 </w:t>
      </w:r>
      <w:r>
        <w:rPr/>
        <w:t>2024-07-15</w:t>
      </w:r>
    </w:p>
    <w:p>
      <w:pPr>
        <w:pStyle w:val="BodyText"/>
        <w:rPr/>
      </w:pPr>
      <w:r>
        <w:rPr/>
        <w:t xml:space="preserve">ㆍ개정 </w:t>
      </w:r>
      <w:r>
        <w:rPr/>
        <w:t>2025-07-01</w:t>
      </w:r>
    </w:p>
    <w:p>
      <w:pPr>
        <w:pStyle w:val="Heading2"/>
        <w:rPr/>
      </w:pPr>
      <w:bookmarkStart w:id="1" w:name="제1장-총-칙"/>
      <w:r>
        <w:rPr/>
        <w:t>제</w:t>
      </w:r>
      <w:r>
        <w:rPr/>
        <w:t>1</w:t>
      </w:r>
      <w:r>
        <w:rPr/>
        <w:t>장 총 칙</w:t>
      </w:r>
    </w:p>
    <w:p>
      <w:pPr>
        <w:pStyle w:val="Compact"/>
        <w:numPr>
          <w:ilvl w:val="0"/>
          <w:numId w:val="23"/>
        </w:numPr>
        <w:rPr/>
      </w:pPr>
      <w:r>
        <w:rPr/>
        <w:t>목 적</w:t>
      </w:r>
    </w:p>
    <w:p>
      <w:pPr>
        <w:pStyle w:val="FirstParagraph"/>
        <w:rPr/>
      </w:pPr>
      <w:r>
        <w:rPr/>
        <w:t>이 지침은 「은행업감독규정」 제</w:t>
      </w:r>
      <w:r>
        <w:rPr/>
        <w:t>67</w:t>
      </w:r>
      <w:r>
        <w:rPr/>
        <w:t>조 및 제</w:t>
      </w:r>
      <w:r>
        <w:rPr/>
        <w:t>67</w:t>
      </w:r>
      <w:r>
        <w:rPr/>
        <w:t>조의</w:t>
      </w:r>
      <w:r>
        <w:rPr/>
        <w:t xml:space="preserve">2, </w:t>
      </w:r>
      <w:r>
        <w:rPr/>
        <w:t>「은행업감독업무시행세칙」 제</w:t>
      </w:r>
      <w:r>
        <w:rPr/>
        <w:t>41</w:t>
      </w:r>
      <w:r>
        <w:rPr/>
        <w:t>조에 의거 국제금융업무 및 외환파생상품거래 수행에 따른 리스크를 적절히 관리하기 위해 필요한 사항을 정함을 목적으로 한다</w:t>
      </w:r>
      <w:r>
        <w:rPr/>
        <w:t>.</w:t>
      </w:r>
    </w:p>
    <w:p>
      <w:pPr>
        <w:pStyle w:val="Compact"/>
        <w:numPr>
          <w:ilvl w:val="0"/>
          <w:numId w:val="24"/>
        </w:numPr>
        <w:rPr/>
      </w:pPr>
      <w:r>
        <w:rPr/>
        <w:t>준 용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외화유동성리스크 관리는 「유동성리스크관리지침」 등 관련 내규에 따른다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국가별 위험관리는 「국가별위험관리지침」 등 관련 내규에 따른다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이 지침에서 정하지 아니한 사항은 당행 내규와 외국환관계법규 등 다른 관계규정 및 국제금융시장의 관례에 따른다</w:t>
      </w:r>
      <w:r>
        <w:rPr/>
        <w:t>.</w:t>
      </w:r>
      <w:bookmarkEnd w:id="1"/>
    </w:p>
    <w:p>
      <w:pPr>
        <w:pStyle w:val="Heading2"/>
        <w:rPr/>
      </w:pPr>
      <w:bookmarkStart w:id="2" w:name="제2장-거액신용시장리스크-관리기준"/>
      <w:r>
        <w:rPr/>
        <w:t>제</w:t>
      </w:r>
      <w:r>
        <w:rPr/>
        <w:t>2</w:t>
      </w:r>
      <w:r>
        <w:rPr/>
        <w:t>장 거액신용</w:t>
      </w:r>
      <w:r>
        <w:rPr/>
        <w:t>·</w:t>
      </w:r>
      <w:r>
        <w:rPr/>
        <w:t>시장리스크 관리기준</w:t>
      </w:r>
    </w:p>
    <w:p>
      <w:pPr>
        <w:pStyle w:val="Heading3"/>
        <w:rPr/>
      </w:pPr>
      <w:bookmarkStart w:id="3" w:name="제1절-총-칙"/>
      <w:r>
        <w:rPr/>
        <w:t>제</w:t>
      </w:r>
      <w:r>
        <w:rPr/>
        <w:t>1</w:t>
      </w:r>
      <w:r>
        <w:rPr/>
        <w:t>절 총 칙</w:t>
      </w:r>
    </w:p>
    <w:p>
      <w:pPr>
        <w:pStyle w:val="Compact"/>
        <w:numPr>
          <w:ilvl w:val="0"/>
          <w:numId w:val="25"/>
        </w:numPr>
        <w:rPr/>
      </w:pPr>
      <w:r>
        <w:rPr/>
        <w:t>목 적</w:t>
      </w:r>
    </w:p>
    <w:p>
      <w:pPr>
        <w:pStyle w:val="FirstParagraph"/>
        <w:rPr/>
      </w:pPr>
      <w:r>
        <w:rPr/>
        <w:t>이 기준은 외국환업무 및 외화투자업무를 영위함에 따른 거액신용위험 및 시장위험에 대한 리스크 관리기준을 정함을 목적으로 한다</w:t>
      </w:r>
      <w:r>
        <w:rPr/>
        <w:t xml:space="preserve">. (2019. 12. 1. </w:t>
      </w:r>
      <w:r>
        <w:rPr/>
        <w:t>개정</w:t>
      </w:r>
      <w:r>
        <w:rPr/>
        <w:t>)</w:t>
      </w:r>
    </w:p>
    <w:p>
      <w:pPr>
        <w:pStyle w:val="Compact"/>
        <w:numPr>
          <w:ilvl w:val="0"/>
          <w:numId w:val="26"/>
        </w:numPr>
        <w:rPr/>
      </w:pPr>
      <w:r>
        <w:rPr/>
        <w:t>용어의 정의</w:t>
      </w:r>
    </w:p>
    <w:p>
      <w:pPr>
        <w:pStyle w:val="FirstParagraph"/>
        <w:rPr/>
      </w:pPr>
      <w:r>
        <w:rPr/>
        <w:t>이 기준에서 사용되는 용어의 정의는 다음과 같다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>. ‘</w:t>
      </w:r>
      <w:r>
        <w:rPr/>
        <w:t>자기자본’은 「외국환거래규정」 제</w:t>
      </w:r>
      <w:r>
        <w:rPr/>
        <w:t>2-9</w:t>
      </w:r>
      <w:r>
        <w:rPr/>
        <w:t xml:space="preserve">조 </w:t>
      </w:r>
      <w:r>
        <w:rPr/>
        <w:t>2</w:t>
      </w:r>
      <w:r>
        <w:rPr/>
        <w:t>의 제</w:t>
      </w:r>
      <w:r>
        <w:rPr/>
        <w:t>4</w:t>
      </w:r>
      <w:r>
        <w:rPr/>
        <w:t>항 자기자본을 의미한다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본 기준의 적용을 받는 ‘신용공여금액’은 외화대출금</w:t>
      </w:r>
      <w:r>
        <w:rPr/>
        <w:t>(</w:t>
      </w:r>
      <w:r>
        <w:rPr/>
        <w:t>내국수입유산스</w:t>
      </w:r>
      <w:r>
        <w:rPr/>
        <w:t xml:space="preserve">, </w:t>
      </w:r>
      <w:r>
        <w:rPr/>
        <w:t>외화신용카드채권</w:t>
      </w:r>
      <w:r>
        <w:rPr/>
        <w:t xml:space="preserve">, </w:t>
      </w:r>
      <w:r>
        <w:rPr/>
        <w:t>외화지급보증대지급금 및 외화리스를 포함</w:t>
      </w:r>
      <w:r>
        <w:rPr/>
        <w:t xml:space="preserve">), </w:t>
      </w:r>
      <w:r>
        <w:rPr/>
        <w:t>외화채권 및 외화지급보증에 한한다</w:t>
      </w:r>
      <w:r>
        <w:rPr/>
        <w:t xml:space="preserve">. (2019. 12. 1. </w:t>
      </w:r>
      <w:r>
        <w:rPr/>
        <w:t>개정</w:t>
      </w:r>
      <w:r>
        <w:rPr/>
        <w:t>)</w:t>
      </w:r>
    </w:p>
    <w:p>
      <w:pPr>
        <w:pStyle w:val="BodyText"/>
        <w:rPr/>
      </w:pPr>
      <w:r>
        <w:rPr/>
        <w:t>다</w:t>
      </w:r>
      <w:r>
        <w:rPr/>
        <w:t>. ‘</w:t>
      </w:r>
      <w:r>
        <w:rPr/>
        <w:t>투자등급’은 국제신용평가기관과 국내신용평가기관의 신용등급 등에 따라 아래와 같이 구분한다</w:t>
      </w:r>
      <w:r>
        <w:rPr/>
        <w:t>.</w:t>
      </w:r>
    </w:p>
    <w:p>
      <w:pPr>
        <w:pStyle w:val="Compact"/>
        <w:numPr>
          <w:ilvl w:val="0"/>
          <w:numId w:val="27"/>
        </w:numPr>
        <w:rPr/>
      </w:pPr>
      <w:r>
        <w:rPr/>
        <w:t>국제신용평가기관 신용등급의 구분은 아래의 표와 같으며 거액 신용공여 한도 및 외화채권 한도 설정 시 사용한다</w:t>
      </w:r>
      <w:r>
        <w:rPr/>
        <w:t xml:space="preserve">. (2019. 12. 1. </w:t>
      </w:r>
      <w:r>
        <w:rPr/>
        <w:t>개정</w:t>
      </w:r>
      <w:r>
        <w:rPr/>
        <w:t>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구분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투자등급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투자등급미만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우량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양호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S&amp;P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AA-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이상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A+ ~ A-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Moody’s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Aa3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이상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A1 ~ A3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Fitch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AA-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이상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A+ ~ A-</w:t>
            </w:r>
          </w:p>
        </w:tc>
      </w:tr>
    </w:tbl>
    <w:p>
      <w:pPr>
        <w:pStyle w:val="Compact"/>
        <w:numPr>
          <w:ilvl w:val="0"/>
          <w:numId w:val="28"/>
        </w:numPr>
        <w:rPr/>
      </w:pPr>
      <w:r>
        <w:rPr/>
        <w:t>국내신용평가기관의 신용등급 구분은 아래의 표와 같으며 거액 신용공여 한도 및 외화채권 한도 설정 시 사용한다</w:t>
      </w:r>
      <w:r>
        <w:rPr/>
        <w:t xml:space="preserve">. (2019. 12. 1. </w:t>
      </w:r>
      <w:r>
        <w:rPr/>
        <w:t>개정</w:t>
      </w:r>
      <w:r>
        <w:rPr/>
        <w:t>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구분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투자등급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투자등급미만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회사채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BBB-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등급 이상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BB+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등급 이하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기업어음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A3-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등급 이상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B+ 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등급 이하</w:t>
            </w:r>
          </w:p>
        </w:tc>
      </w:tr>
    </w:tbl>
    <w:p>
      <w:pPr>
        <w:pStyle w:val="Compact"/>
        <w:numPr>
          <w:ilvl w:val="0"/>
          <w:numId w:val="29"/>
        </w:numPr>
        <w:rPr/>
      </w:pPr>
      <w:r>
        <w:rPr/>
        <w:t>둘 이상의 신용평가기관에 의해 산정된 복수의 신용등급이 있는 경우에는 이중 가장 낮은 신용등급을 기준으로 분류한다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다수의 신용등급 중 높은 신용등급이 해당국가에 대한 최근이 정보를 반영한 결과인 경우 높은 신용등급을 적용할 수 있다</w:t>
      </w:r>
      <w:r>
        <w:rPr/>
        <w:t>.</w:t>
      </w:r>
      <w:bookmarkEnd w:id="3"/>
    </w:p>
    <w:p>
      <w:pPr>
        <w:pStyle w:val="Heading3"/>
        <w:rPr/>
      </w:pPr>
      <w:bookmarkStart w:id="4" w:name="제2절-거액신용시장리스크-관리기준"/>
      <w:r>
        <w:rPr/>
        <w:t>제</w:t>
      </w:r>
      <w:r>
        <w:rPr/>
        <w:t>2</w:t>
      </w:r>
      <w:r>
        <w:rPr/>
        <w:t>절 거액신용</w:t>
      </w:r>
      <w:r>
        <w:rPr/>
        <w:t>·</w:t>
      </w:r>
      <w:r>
        <w:rPr/>
        <w:t>시장리스크 관리기준</w:t>
      </w:r>
    </w:p>
    <w:p>
      <w:pPr>
        <w:pStyle w:val="Compact"/>
        <w:numPr>
          <w:ilvl w:val="0"/>
          <w:numId w:val="30"/>
        </w:numPr>
        <w:rPr/>
      </w:pPr>
      <w:r>
        <w:rPr/>
        <w:t>거액신용위험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거액 신용공여는 동일기업의 본지점 및 자회사 등 거래처별 외화표시 신용공여를 대상으로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거액 신용공여 한도는 다음과 같다</w:t>
      </w:r>
      <w:r>
        <w:rPr/>
        <w:t>.</w:t>
      </w:r>
    </w:p>
    <w:p>
      <w:pPr>
        <w:pStyle w:val="Normal"/>
        <w:numPr>
          <w:ilvl w:val="0"/>
          <w:numId w:val="31"/>
        </w:numPr>
        <w:rPr/>
      </w:pPr>
      <w:r>
        <w:rPr/>
        <w:t xml:space="preserve">거래처별 신용공여 한도는 전월말 자기자본의 </w:t>
      </w:r>
      <w:r>
        <w:rPr/>
        <w:t xml:space="preserve">10% </w:t>
      </w:r>
      <w:r>
        <w:rPr/>
        <w:t>이내로 한다</w:t>
      </w:r>
      <w:r>
        <w:rPr/>
        <w:t>.</w:t>
      </w:r>
    </w:p>
    <w:p>
      <w:pPr>
        <w:pStyle w:val="Normal"/>
        <w:numPr>
          <w:ilvl w:val="0"/>
          <w:numId w:val="32"/>
        </w:numPr>
        <w:rPr/>
      </w:pPr>
      <w:r>
        <w:rPr/>
        <w:t xml:space="preserve">투자등급 미만 거래처에 대한 신용공여 한도는 전월말 자기자본의 </w:t>
      </w:r>
      <w:r>
        <w:rPr/>
        <w:t xml:space="preserve">5% </w:t>
      </w:r>
      <w:r>
        <w:rPr/>
        <w:t>이내로 한다</w:t>
      </w:r>
      <w:r>
        <w:rPr/>
        <w:t>.</w:t>
      </w:r>
    </w:p>
    <w:p>
      <w:pPr>
        <w:pStyle w:val="Normal"/>
        <w:numPr>
          <w:ilvl w:val="0"/>
          <w:numId w:val="33"/>
        </w:numPr>
        <w:rPr/>
      </w:pPr>
      <w:r>
        <w:rPr/>
        <w:t>국내기업의 경우 국내신용평가기관의 신용등급을 적용하되 국내신용평가기관의 신용등급이 없을 경우 국제신용평가기관의 신용등급을 적용할 수 있다</w:t>
      </w:r>
      <w:r>
        <w:rPr/>
        <w:t>.</w:t>
      </w:r>
    </w:p>
    <w:p>
      <w:pPr>
        <w:pStyle w:val="Normal"/>
        <w:numPr>
          <w:ilvl w:val="0"/>
          <w:numId w:val="34"/>
        </w:numPr>
        <w:rPr/>
      </w:pPr>
      <w:r>
        <w:rPr/>
        <w:t>「리스크허용한도」등 당행 리스크관련 내규에 따로 정함이 있는 경우에는 그에 따른다</w:t>
      </w:r>
      <w:r>
        <w:rPr/>
        <w:t>.</w:t>
      </w:r>
    </w:p>
    <w:p>
      <w:pPr>
        <w:pStyle w:val="Compact"/>
        <w:numPr>
          <w:ilvl w:val="0"/>
          <w:numId w:val="35"/>
        </w:numPr>
        <w:rPr/>
      </w:pPr>
      <w:r>
        <w:rPr/>
        <w:t>시장위험</w:t>
      </w:r>
    </w:p>
    <w:p>
      <w:pPr>
        <w:pStyle w:val="FirstParagraph"/>
        <w:rPr/>
      </w:pPr>
      <w:r>
        <w:rPr/>
        <w:t>외화유가증권 투자한도 및 손절매 기준은 다음과 같다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 xml:space="preserve">투자등급 미만 외화채권 투자한도는 총 외화채권 잔액의 </w:t>
      </w:r>
      <w:r>
        <w:rPr/>
        <w:t xml:space="preserve">30% </w:t>
      </w:r>
      <w:r>
        <w:rPr/>
        <w:t>이내로 한다</w:t>
      </w:r>
      <w:r>
        <w:rPr/>
        <w:t xml:space="preserve">. (2019. 12. 1. </w:t>
      </w:r>
      <w:r>
        <w:rPr/>
        <w:t>개정</w:t>
      </w:r>
      <w:r>
        <w:rPr/>
        <w:t>)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외화증권의 손절매 기준 및 한도는 다음과 같다</w:t>
      </w:r>
      <w:r>
        <w:rPr/>
        <w:t>.</w:t>
      </w:r>
    </w:p>
    <w:p>
      <w:pPr>
        <w:pStyle w:val="Compact"/>
        <w:numPr>
          <w:ilvl w:val="0"/>
          <w:numId w:val="36"/>
        </w:numPr>
        <w:rPr/>
      </w:pPr>
      <w:r>
        <w:rPr/>
        <w:t>손절매 한도 초과여부는 종목별 개별취득원가를 기준으로 한다</w:t>
      </w:r>
      <w:r>
        <w:rPr/>
        <w:t xml:space="preserve">. </w:t>
      </w:r>
      <w:r>
        <w:rPr/>
        <w:t>유가증권의 종류별 개별취득원가는 다음 각 호와 같다</w:t>
      </w:r>
      <w:r>
        <w:rPr/>
        <w:t>.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채권</w:t>
      </w:r>
      <w:r>
        <w:rPr/>
        <w:t xml:space="preserve">: </w:t>
      </w:r>
      <w:r>
        <w:rPr/>
        <w:t>상각 후 취득원가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주식</w:t>
      </w:r>
      <w:r>
        <w:rPr/>
        <w:t xml:space="preserve">: </w:t>
      </w:r>
      <w:r>
        <w:rPr/>
        <w:t>매입건별 취득원가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무상증자 및 유상증자로 인한 권리락</w:t>
      </w:r>
      <w:r>
        <w:rPr/>
        <w:t xml:space="preserve">, </w:t>
      </w:r>
      <w:r>
        <w:rPr/>
        <w:t>배당으로 인한 배당락 발생 시 권리락 및 배당락 가격을 취득원가에 반영하여 적용할 수 있다</w:t>
      </w:r>
      <w:r>
        <w:rPr/>
        <w:t>.</w:t>
      </w:r>
    </w:p>
    <w:p>
      <w:pPr>
        <w:pStyle w:val="BodyText"/>
        <w:rPr/>
      </w:pPr>
      <w:r>
        <w:rPr/>
        <w:t>(</w:t>
      </w:r>
      <w:r>
        <w:rPr/>
        <w:t>다</w:t>
      </w:r>
      <w:r>
        <w:rPr/>
        <w:t xml:space="preserve">) </w:t>
      </w:r>
      <w:r>
        <w:rPr/>
        <w:t>수익증권</w:t>
      </w:r>
      <w:r>
        <w:rPr/>
        <w:t xml:space="preserve">: </w:t>
      </w:r>
      <w:r>
        <w:rPr/>
        <w:t>매입건별 취득원가</w:t>
      </w:r>
    </w:p>
    <w:p>
      <w:pPr>
        <w:pStyle w:val="Compact"/>
        <w:numPr>
          <w:ilvl w:val="0"/>
          <w:numId w:val="37"/>
        </w:numPr>
        <w:rPr/>
      </w:pPr>
      <w:r>
        <w:rPr/>
        <w:t>손절매 한도</w:t>
      </w:r>
    </w:p>
    <w:p>
      <w:pPr>
        <w:pStyle w:val="FirstParagraph"/>
        <w:rPr/>
      </w:pPr>
      <w:r>
        <w:rPr/>
        <w:t>(</w:t>
      </w:r>
      <w:r>
        <w:rPr/>
        <w:t>가</w:t>
      </w:r>
      <w:r>
        <w:rPr/>
        <w:t xml:space="preserve">) </w:t>
      </w:r>
      <w:r>
        <w:rPr/>
        <w:t>당기손익</w:t>
      </w:r>
      <w:r>
        <w:rPr/>
        <w:t>-</w:t>
      </w:r>
      <w:r>
        <w:rPr/>
        <w:t xml:space="preserve">공정가치 측정 유가증권 </w:t>
      </w:r>
      <w:r>
        <w:rPr/>
        <w:t xml:space="preserve">(2019. 12. 1. </w:t>
      </w:r>
      <w:r>
        <w:rPr/>
        <w:t>개정</w:t>
      </w:r>
      <w:r>
        <w:rPr/>
        <w:t>)</w:t>
      </w:r>
    </w:p>
    <w:p>
      <w:pPr>
        <w:pStyle w:val="BodyText"/>
        <w:rPr/>
      </w:pPr>
      <w:r>
        <w:rPr/>
        <w:t>(</w:t>
      </w:r>
      <w:r>
        <w:rPr/>
        <w:t>ㄱ</w:t>
      </w:r>
      <w:r>
        <w:rPr/>
        <w:t xml:space="preserve">) </w:t>
      </w:r>
      <w:r>
        <w:rPr/>
        <w:t>채권</w:t>
      </w:r>
      <w:r>
        <w:rPr/>
        <w:t xml:space="preserve">: </w:t>
      </w:r>
      <w:r>
        <w:rPr/>
        <w:t xml:space="preserve">상각 후 취득원가의 </w:t>
      </w:r>
      <w:r>
        <w:rPr/>
        <w:t>5%</w:t>
      </w:r>
    </w:p>
    <w:p>
      <w:pPr>
        <w:pStyle w:val="BodyText"/>
        <w:rPr/>
      </w:pPr>
      <w:r>
        <w:rPr/>
        <w:t>(</w:t>
      </w:r>
      <w:r>
        <w:rPr/>
        <w:t>ㄴ</w:t>
      </w:r>
      <w:r>
        <w:rPr/>
        <w:t xml:space="preserve">) </w:t>
      </w:r>
      <w:r>
        <w:rPr/>
        <w:t>주식</w:t>
      </w:r>
      <w:r>
        <w:rPr/>
        <w:t xml:space="preserve">: </w:t>
      </w:r>
      <w:r>
        <w:rPr/>
        <w:t xml:space="preserve">개별취득원가의 </w:t>
      </w:r>
      <w:r>
        <w:rPr/>
        <w:t>20%</w:t>
      </w:r>
    </w:p>
    <w:p>
      <w:pPr>
        <w:pStyle w:val="BodyText"/>
        <w:rPr/>
      </w:pPr>
      <w:r>
        <w:rPr/>
        <w:t>(</w:t>
      </w:r>
      <w:r>
        <w:rPr/>
        <w:t>ㄷ</w:t>
      </w:r>
      <w:r>
        <w:rPr/>
        <w:t xml:space="preserve">) </w:t>
      </w:r>
      <w:r>
        <w:rPr/>
        <w:t>기타 유가증권</w:t>
      </w:r>
      <w:r>
        <w:rPr/>
        <w:t xml:space="preserve">: </w:t>
      </w:r>
      <w:r>
        <w:rPr/>
        <w:t xml:space="preserve">개별취득원가의 </w:t>
      </w:r>
      <w:r>
        <w:rPr/>
        <w:t>20%</w:t>
      </w:r>
    </w:p>
    <w:p>
      <w:pPr>
        <w:pStyle w:val="BodyText"/>
        <w:rPr/>
      </w:pPr>
      <w:r>
        <w:rPr/>
        <w:t>(</w:t>
      </w:r>
      <w:r>
        <w:rPr/>
        <w:t>ㄹ</w:t>
      </w:r>
      <w:r>
        <w:rPr/>
        <w:t xml:space="preserve">) </w:t>
      </w:r>
      <w:r>
        <w:rPr/>
        <w:t>외화수익증권</w:t>
      </w:r>
      <w:r>
        <w:rPr/>
        <w:t xml:space="preserve">: </w:t>
      </w:r>
      <w:r>
        <w:rPr/>
        <w:t xml:space="preserve">채권형수익증권 </w:t>
      </w:r>
      <w:r>
        <w:rPr/>
        <w:t xml:space="preserve">10%, </w:t>
      </w:r>
      <w:r>
        <w:rPr/>
        <w:t xml:space="preserve">주식형수익증권 </w:t>
      </w:r>
      <w:r>
        <w:rPr/>
        <w:t xml:space="preserve">20%, </w:t>
      </w:r>
      <w:r>
        <w:rPr/>
        <w:t>기타유가증권</w:t>
      </w:r>
      <w:r>
        <w:rPr/>
        <w:t>(</w:t>
      </w:r>
      <w:r>
        <w:rPr/>
        <w:t>파생결합증권</w:t>
      </w:r>
      <w:r>
        <w:rPr/>
        <w:t xml:space="preserve">, </w:t>
      </w:r>
      <w:r>
        <w:rPr/>
        <w:t>혼합형 등</w:t>
      </w:r>
      <w:r>
        <w:rPr/>
        <w:t>) 15%</w:t>
      </w:r>
    </w:p>
    <w:p>
      <w:pPr>
        <w:pStyle w:val="BodyText"/>
        <w:rPr/>
      </w:pPr>
      <w:r>
        <w:rPr/>
        <w:t>(</w:t>
      </w:r>
      <w:r>
        <w:rPr/>
        <w:t>나</w:t>
      </w:r>
      <w:r>
        <w:rPr/>
        <w:t xml:space="preserve">) </w:t>
      </w:r>
      <w:r>
        <w:rPr/>
        <w:t>기타포괄손익</w:t>
      </w:r>
      <w:r>
        <w:rPr/>
        <w:t>-</w:t>
      </w:r>
      <w:r>
        <w:rPr/>
        <w:t>공정가치 측정 유가증권</w:t>
      </w:r>
      <w:r>
        <w:rPr/>
        <w:t xml:space="preserve">: </w:t>
      </w:r>
      <w:r>
        <w:rPr/>
        <w:t xml:space="preserve">개별취득원가의 </w:t>
      </w:r>
      <w:r>
        <w:rPr/>
        <w:t>20%</w:t>
      </w:r>
      <w:bookmarkEnd w:id="2"/>
      <w:bookmarkEnd w:id="4"/>
    </w:p>
    <w:p>
      <w:pPr>
        <w:pStyle w:val="Heading2"/>
        <w:rPr/>
      </w:pPr>
      <w:bookmarkStart w:id="5" w:name="제3장-외환파생상품거래-리스크-관리기준"/>
      <w:r>
        <w:rPr/>
        <w:t>제</w:t>
      </w:r>
      <w:r>
        <w:rPr/>
        <w:t>3</w:t>
      </w:r>
      <w:r>
        <w:rPr/>
        <w:t>장 외환파생상품거래 리스크 관리기준</w:t>
      </w:r>
    </w:p>
    <w:p>
      <w:pPr>
        <w:pStyle w:val="Heading3"/>
        <w:rPr/>
      </w:pPr>
      <w:bookmarkStart w:id="6" w:name="제1절-총-칙-1"/>
      <w:r>
        <w:rPr/>
        <w:t>제</w:t>
      </w:r>
      <w:r>
        <w:rPr/>
        <w:t>1</w:t>
      </w:r>
      <w:r>
        <w:rPr/>
        <w:t>절 총 칙</w:t>
      </w:r>
    </w:p>
    <w:p>
      <w:pPr>
        <w:pStyle w:val="Compact"/>
        <w:numPr>
          <w:ilvl w:val="0"/>
          <w:numId w:val="38"/>
        </w:numPr>
        <w:rPr/>
      </w:pPr>
      <w:r>
        <w:rPr/>
        <w:t>목 적</w:t>
      </w:r>
    </w:p>
    <w:p>
      <w:pPr>
        <w:pStyle w:val="FirstParagraph"/>
        <w:rPr/>
      </w:pPr>
      <w:r>
        <w:rPr/>
        <w:t>이 기준은 「은행업감독업무시행세칙」 제</w:t>
      </w:r>
      <w:r>
        <w:rPr/>
        <w:t>41</w:t>
      </w:r>
      <w:r>
        <w:rPr/>
        <w:t>조에 따른 금융기관의 외환파생상품거래 위험관리기준을 정함을 목적으로 한다</w:t>
      </w:r>
      <w:r>
        <w:rPr/>
        <w:t>.</w:t>
      </w:r>
    </w:p>
    <w:p>
      <w:pPr>
        <w:pStyle w:val="Compact"/>
        <w:numPr>
          <w:ilvl w:val="0"/>
          <w:numId w:val="39"/>
        </w:numPr>
        <w:rPr/>
      </w:pPr>
      <w:r>
        <w:rPr/>
        <w:t>범 위</w:t>
      </w:r>
    </w:p>
    <w:p>
      <w:pPr>
        <w:pStyle w:val="FirstParagraph"/>
        <w:rPr/>
      </w:pPr>
      <w:r>
        <w:rPr/>
        <w:t>이 기준은 기업투자자에 대한 외환파생상품 거래에 따른 거래상대방 리스크 관리를 주된 범위로 한다</w:t>
      </w:r>
      <w:r>
        <w:rPr/>
        <w:t>.</w:t>
      </w:r>
    </w:p>
    <w:p>
      <w:pPr>
        <w:pStyle w:val="Compact"/>
        <w:numPr>
          <w:ilvl w:val="0"/>
          <w:numId w:val="40"/>
        </w:numPr>
        <w:rPr/>
      </w:pPr>
      <w:r>
        <w:rPr/>
        <w:t>용어의 정의</w:t>
      </w:r>
    </w:p>
    <w:p>
      <w:pPr>
        <w:pStyle w:val="FirstParagraph"/>
        <w:rPr/>
      </w:pPr>
      <w:r>
        <w:rPr/>
        <w:t>이 기준에서 사용되는 용어의 정의는 다음과 같다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>. ‘</w:t>
      </w:r>
      <w:r>
        <w:rPr/>
        <w:t>자기자본’은 「외국환거래규정」 제</w:t>
      </w:r>
      <w:r>
        <w:rPr/>
        <w:t>2-9</w:t>
      </w:r>
      <w:r>
        <w:rPr/>
        <w:t xml:space="preserve">조 </w:t>
      </w:r>
      <w:r>
        <w:rPr/>
        <w:t>2</w:t>
      </w:r>
      <w:r>
        <w:rPr/>
        <w:t>의 제</w:t>
      </w:r>
      <w:r>
        <w:rPr/>
        <w:t>4</w:t>
      </w:r>
      <w:r>
        <w:rPr/>
        <w:t>항 자기자본을 의미한다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>. ‘</w:t>
      </w:r>
      <w:r>
        <w:rPr/>
        <w:t>외환파생상품’은 「자본시장과 금융투자업에 관한 법률」 제</w:t>
      </w:r>
      <w:r>
        <w:rPr/>
        <w:t>5</w:t>
      </w:r>
      <w:r>
        <w:rPr/>
        <w:t>조제</w:t>
      </w:r>
      <w:r>
        <w:rPr/>
        <w:t>3</w:t>
      </w:r>
      <w:r>
        <w:rPr/>
        <w:t>항</w:t>
      </w:r>
      <w:r>
        <w:rPr/>
        <w:t xml:space="preserve">, </w:t>
      </w:r>
      <w:r>
        <w:rPr/>
        <w:t>「외국환거래규정」 제</w:t>
      </w:r>
      <w:r>
        <w:rPr/>
        <w:t>1-2</w:t>
      </w:r>
      <w:r>
        <w:rPr/>
        <w:t>조제</w:t>
      </w:r>
      <w:r>
        <w:rPr/>
        <w:t>11</w:t>
      </w:r>
      <w:r>
        <w:rPr/>
        <w:t>호 및 제</w:t>
      </w:r>
      <w:r>
        <w:rPr/>
        <w:t>20-2</w:t>
      </w:r>
      <w:r>
        <w:rPr/>
        <w:t>호의 외국통화를 기초자산으로 하는 장외파생상품으로서 통화선도</w:t>
      </w:r>
      <w:r>
        <w:rPr/>
        <w:t xml:space="preserve">(outright forward), </w:t>
      </w:r>
      <w:r>
        <w:rPr/>
        <w:t>통화옵션</w:t>
      </w:r>
      <w:r>
        <w:rPr/>
        <w:t xml:space="preserve">, </w:t>
      </w:r>
      <w:r>
        <w:rPr/>
        <w:t>외환스왑 및 통화스왑을 의미한다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>. ‘</w:t>
      </w:r>
      <w:r>
        <w:rPr/>
        <w:t>기업투자자’는 「자본시장과 금융투자업에 관한 법률」 제</w:t>
      </w:r>
      <w:r>
        <w:rPr/>
        <w:t>9</w:t>
      </w:r>
      <w:r>
        <w:rPr/>
        <w:t>조제</w:t>
      </w:r>
      <w:r>
        <w:rPr/>
        <w:t>5</w:t>
      </w:r>
      <w:r>
        <w:rPr/>
        <w:t>항의 전문투자자 중 동 법 제</w:t>
      </w:r>
      <w:r>
        <w:rPr/>
        <w:t>9</w:t>
      </w:r>
      <w:r>
        <w:rPr/>
        <w:t>조제</w:t>
      </w:r>
      <w:r>
        <w:rPr/>
        <w:t>5</w:t>
      </w:r>
      <w:r>
        <w:rPr/>
        <w:t>항제</w:t>
      </w:r>
      <w:r>
        <w:rPr/>
        <w:t>1</w:t>
      </w:r>
      <w:r>
        <w:rPr/>
        <w:t>호내지제</w:t>
      </w:r>
      <w:r>
        <w:rPr/>
        <w:t>2</w:t>
      </w:r>
      <w:r>
        <w:rPr/>
        <w:t>호</w:t>
      </w:r>
      <w:r>
        <w:rPr/>
        <w:t xml:space="preserve">, </w:t>
      </w:r>
      <w:r>
        <w:rPr/>
        <w:t>동 법 시행령 제</w:t>
      </w:r>
      <w:r>
        <w:rPr/>
        <w:t>10</w:t>
      </w:r>
      <w:r>
        <w:rPr/>
        <w:t>조제</w:t>
      </w:r>
      <w:r>
        <w:rPr/>
        <w:t>2</w:t>
      </w:r>
      <w:r>
        <w:rPr/>
        <w:t>항 및 제</w:t>
      </w:r>
      <w:r>
        <w:rPr/>
        <w:t>3</w:t>
      </w:r>
      <w:r>
        <w:rPr/>
        <w:t>항</w:t>
      </w:r>
      <w:r>
        <w:rPr/>
        <w:t>(</w:t>
      </w:r>
      <w:r>
        <w:rPr/>
        <w:t>제</w:t>
      </w:r>
      <w:r>
        <w:rPr/>
        <w:t>3</w:t>
      </w:r>
      <w:r>
        <w:rPr/>
        <w:t>항제</w:t>
      </w:r>
      <w:r>
        <w:rPr/>
        <w:t>15</w:t>
      </w:r>
      <w:r>
        <w:rPr/>
        <w:t>호내지제</w:t>
      </w:r>
      <w:r>
        <w:rPr/>
        <w:t>17</w:t>
      </w:r>
      <w:r>
        <w:rPr/>
        <w:t>호를 제외한다</w:t>
      </w:r>
      <w:r>
        <w:rPr/>
        <w:t>)</w:t>
      </w:r>
      <w:r>
        <w:rPr/>
        <w:t>의 투자자를 제외한 투자자를 의미한다</w:t>
      </w:r>
      <w:r>
        <w:rPr/>
        <w:t>.</w:t>
      </w:r>
      <w:bookmarkEnd w:id="6"/>
    </w:p>
    <w:p>
      <w:pPr>
        <w:pStyle w:val="Heading3"/>
        <w:rPr/>
      </w:pPr>
      <w:bookmarkStart w:id="7" w:name="제2절-외환파생상품-거래상대방-리스크-관리"/>
      <w:r>
        <w:rPr/>
        <w:t>제</w:t>
      </w:r>
      <w:r>
        <w:rPr/>
        <w:t>2</w:t>
      </w:r>
      <w:r>
        <w:rPr/>
        <w:t>절 외환파생상품 거래상대방 리스크 관리</w:t>
      </w:r>
    </w:p>
    <w:p>
      <w:pPr>
        <w:pStyle w:val="Compact"/>
        <w:numPr>
          <w:ilvl w:val="0"/>
          <w:numId w:val="41"/>
        </w:numPr>
        <w:rPr/>
      </w:pPr>
      <w:r>
        <w:rPr/>
        <w:t>거래 실행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기업투자자가 보유하고 있거나 보유할 예정인 자산</w:t>
      </w:r>
      <w:r>
        <w:rPr/>
        <w:t>·</w:t>
      </w:r>
      <w:r>
        <w:rPr/>
        <w:t>부채</w:t>
      </w:r>
      <w:r>
        <w:rPr/>
        <w:t>·</w:t>
      </w:r>
      <w:r>
        <w:rPr/>
        <w:t>계약 등 위험회피대상의 실재성을 확인한 후 기업투자자와의 외환파생상품 거래를 실행하여야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기업투자자에 대한 외환파생상품 거래 실행 여부 결정 시 고려하여야 할 사항은 다음과 같다</w:t>
      </w:r>
      <w:r>
        <w:rPr/>
        <w:t>.</w:t>
      </w:r>
    </w:p>
    <w:p>
      <w:pPr>
        <w:pStyle w:val="Normal"/>
        <w:numPr>
          <w:ilvl w:val="0"/>
          <w:numId w:val="42"/>
        </w:numPr>
        <w:rPr/>
      </w:pPr>
      <w:r>
        <w:rPr/>
        <w:t>외환파생상품의 종류 및 거래금액</w:t>
      </w:r>
    </w:p>
    <w:p>
      <w:pPr>
        <w:pStyle w:val="Normal"/>
        <w:numPr>
          <w:ilvl w:val="0"/>
          <w:numId w:val="43"/>
        </w:numPr>
        <w:rPr/>
      </w:pPr>
      <w:r>
        <w:rPr/>
        <w:t>기업투자자의 외환파생상품 투자목적</w:t>
      </w:r>
    </w:p>
    <w:p>
      <w:pPr>
        <w:pStyle w:val="Normal"/>
        <w:numPr>
          <w:ilvl w:val="0"/>
          <w:numId w:val="44"/>
        </w:numPr>
        <w:rPr/>
      </w:pPr>
      <w:r>
        <w:rPr/>
        <w:t>기업투자자의 대차대조표</w:t>
      </w:r>
      <w:r>
        <w:rPr/>
        <w:t xml:space="preserve">, </w:t>
      </w:r>
      <w:r>
        <w:rPr/>
        <w:t>손익계산서상 재무비율 등 재산상황</w:t>
      </w:r>
    </w:p>
    <w:p>
      <w:pPr>
        <w:pStyle w:val="FirstParagraph"/>
        <w:rPr/>
      </w:pPr>
      <w:r>
        <w:rPr/>
        <w:t>다</w:t>
      </w:r>
      <w:r>
        <w:rPr/>
        <w:t xml:space="preserve">. </w:t>
      </w:r>
      <w:r>
        <w:rPr/>
        <w:t>아래에서 정하는 사항이 발생하는 경우 외환파생상품 거래의 해지요건에 해당될 수 있음을 사전고지하고  외환파생상품거래 실행에 따른 확약서를 징구하여야 한다</w:t>
      </w:r>
      <w:r>
        <w:rPr/>
        <w:t>.</w:t>
      </w:r>
    </w:p>
    <w:p>
      <w:pPr>
        <w:pStyle w:val="Normal"/>
        <w:numPr>
          <w:ilvl w:val="0"/>
          <w:numId w:val="45"/>
        </w:numPr>
        <w:rPr/>
      </w:pPr>
      <w:r>
        <w:rPr/>
        <w:t>기업투자자가 당행의 제출 요청에도 불구하고 실재성 확인 및 기 실행중인 파생상품거래 정보 등을 제출하지 않는 경우</w:t>
      </w:r>
    </w:p>
    <w:p>
      <w:pPr>
        <w:pStyle w:val="Normal"/>
        <w:numPr>
          <w:ilvl w:val="0"/>
          <w:numId w:val="46"/>
        </w:numPr>
        <w:rPr/>
      </w:pPr>
      <w:r>
        <w:rPr/>
        <w:t>기업투자자가 고의로 허위의 자료를 제출하는 경우</w:t>
      </w:r>
    </w:p>
    <w:p>
      <w:pPr>
        <w:pStyle w:val="Normal"/>
        <w:numPr>
          <w:ilvl w:val="0"/>
          <w:numId w:val="47"/>
        </w:numPr>
        <w:rPr/>
      </w:pPr>
      <w:r>
        <w:rPr/>
        <w:t>기업투자자가 위험헤지비율 초과 사실을 인지하였음에도 불구하고 동 사실을 통보하지 않은 경우</w:t>
      </w:r>
    </w:p>
    <w:p>
      <w:pPr>
        <w:pStyle w:val="Compact"/>
        <w:numPr>
          <w:ilvl w:val="0"/>
          <w:numId w:val="48"/>
        </w:numPr>
        <w:rPr/>
      </w:pPr>
      <w:r>
        <w:rPr/>
        <w:t>한도 설정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기업투자자와의 외환파생상품 거래 시 위험헤지비율을 최대 </w:t>
      </w:r>
      <w:r>
        <w:rPr/>
        <w:t xml:space="preserve">125% </w:t>
      </w:r>
      <w:r>
        <w:rPr/>
        <w:t>이내에서 운영하여야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>. ‘</w:t>
      </w:r>
      <w:r>
        <w:rPr/>
        <w:t>위험헤지비율’은 기업투자자가 보유하고 있거나 보유하려는 위험회피대상 자산</w:t>
      </w:r>
      <w:r>
        <w:rPr/>
        <w:t>·</w:t>
      </w:r>
      <w:r>
        <w:rPr/>
        <w:t>부채</w:t>
      </w:r>
      <w:r>
        <w:rPr/>
        <w:t>·</w:t>
      </w:r>
      <w:r>
        <w:rPr/>
        <w:t>계약 등에서 발생할 수 있는 금액</w:t>
      </w:r>
      <w:r>
        <w:rPr/>
        <w:t xml:space="preserve">(A) </w:t>
      </w:r>
      <w:r>
        <w:rPr/>
        <w:t>대비 한도부여 기간중 당해 금융기관 또는 타 금융기관</w:t>
      </w:r>
      <w:r>
        <w:rPr/>
        <w:t>(</w:t>
      </w:r>
      <w:r>
        <w:rPr/>
        <w:t>한국무역보험공사의 환변동보험을 포함한다</w:t>
      </w:r>
      <w:r>
        <w:rPr/>
        <w:t>.)</w:t>
      </w:r>
      <w:r>
        <w:rPr/>
        <w:t>에서 체결한 신규 외환파생상품거래액을 합산한 금액</w:t>
      </w:r>
      <w:r>
        <w:rPr/>
        <w:t>(B)</w:t>
      </w:r>
      <w:r>
        <w:rPr/>
        <w:t>의 비율</w:t>
      </w:r>
      <w:r>
        <w:rPr/>
        <w:t>(B/A)</w:t>
      </w:r>
      <w:r>
        <w:rPr/>
        <w:t>을 의미한다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기실행중인 외환파생상품 거래 잔액은 전국은행연합회의 ‘파생상품 거래정보 집중 및 공유 시스템’으로 확인하되</w:t>
      </w:r>
      <w:r>
        <w:rPr/>
        <w:t xml:space="preserve">, </w:t>
      </w:r>
      <w:r>
        <w:rPr/>
        <w:t>시스템 미개설 또는 장애 발생 등에 따라 시스템을 통한 확인이 어려운 경우  외환파생상품 거래 잔액 확인서를 징구하여 확인한다</w:t>
      </w:r>
      <w:r>
        <w:rPr/>
        <w:t>.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기업투자자에 대한 위험헤지비율을 사전에 설정한 상한을 초과하여 운영할 필요가 있다고 판단되는 경우 위험관리위원회에 대하여 위험헤지비율 상향 근거 등을 개별 건별로 보고하여 승인을 득한 후 거래를 실행할 수 있다</w:t>
      </w:r>
      <w:r>
        <w:rPr/>
        <w:t>.</w:t>
      </w:r>
      <w:bookmarkEnd w:id="7"/>
    </w:p>
    <w:p>
      <w:pPr>
        <w:pStyle w:val="Heading3"/>
        <w:rPr/>
      </w:pPr>
      <w:bookmarkStart w:id="8" w:name="제3절-비거주자와의-거래-등"/>
      <w:r>
        <w:rPr/>
        <w:t>제</w:t>
      </w:r>
      <w:r>
        <w:rPr/>
        <w:t>3</w:t>
      </w:r>
      <w:r>
        <w:rPr/>
        <w:t>절 비거주자와의 거래 등</w:t>
      </w:r>
    </w:p>
    <w:p>
      <w:pPr>
        <w:pStyle w:val="Compact"/>
        <w:numPr>
          <w:ilvl w:val="0"/>
          <w:numId w:val="49"/>
        </w:numPr>
        <w:rPr/>
      </w:pPr>
      <w:r>
        <w:rPr/>
        <w:t>비거주자와의 거래 등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비거주자와의 거래로서 외화로 표시되거나 결제되는 거래 중 트레이딩 거래 전체에 대한 손실허용한도는 「리스크허용한도」에서 정한 연간 환손실허용한도 이내로 관리하여야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비거주자와의 거래로서 외화로 표시되거나 결제되는 거래 중 전월말 현재 자기자본의 </w:t>
      </w:r>
      <w:r>
        <w:rPr/>
        <w:t>5%</w:t>
      </w:r>
      <w:r>
        <w:rPr/>
        <w:t>를 초과하는 거액거래</w:t>
      </w:r>
      <w:r>
        <w:rPr/>
        <w:t xml:space="preserve">, </w:t>
      </w:r>
      <w:r>
        <w:rPr/>
        <w:t>신용파생금융거래 및 비정형파생상품 거래는 위험관리위원회의 승인을 득하여 취급하여야 한다</w:t>
      </w:r>
      <w:r>
        <w:rPr/>
        <w:t>.</w:t>
      </w:r>
      <w:bookmarkEnd w:id="5"/>
      <w:bookmarkEnd w:id="8"/>
    </w:p>
    <w:p>
      <w:pPr>
        <w:pStyle w:val="Heading2"/>
        <w:rPr/>
      </w:pPr>
      <w:bookmarkStart w:id="9" w:name="부-칙"/>
      <w:r>
        <w:rPr/>
        <w:t>부 칙</w:t>
      </w:r>
    </w:p>
    <w:p>
      <w:pPr>
        <w:pStyle w:val="Normal"/>
        <w:numPr>
          <w:ilvl w:val="0"/>
          <w:numId w:val="50"/>
        </w:numPr>
        <w:rPr/>
      </w:pPr>
      <w:r>
        <w:rPr/>
        <w:t>(</w:t>
      </w:r>
      <w:r>
        <w:rPr/>
        <w:t>시행일</w:t>
      </w:r>
      <w:r>
        <w:rPr/>
        <w:t>) 2010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1</w:t>
      </w:r>
      <w:r>
        <w:rPr/>
        <w:t>일</w:t>
      </w:r>
    </w:p>
    <w:p>
      <w:pPr>
        <w:pStyle w:val="Normal"/>
        <w:numPr>
          <w:ilvl w:val="0"/>
          <w:numId w:val="51"/>
        </w:numPr>
        <w:rPr/>
      </w:pPr>
      <w:r>
        <w:rPr/>
        <w:t>(</w:t>
      </w:r>
      <w:r>
        <w:rPr/>
        <w:t>폐 지</w:t>
      </w:r>
      <w:r>
        <w:rPr/>
        <w:t xml:space="preserve">) </w:t>
      </w:r>
      <w:r>
        <w:rPr/>
        <w:t>이 지침 시행과 동시에 「국제금융신용공여한도관리지침」은 폐지한다</w:t>
      </w:r>
      <w:r>
        <w:rPr/>
        <w:t>.</w:t>
      </w:r>
      <w:bookmarkEnd w:id="9"/>
    </w:p>
    <w:p>
      <w:pPr>
        <w:pStyle w:val="Heading2"/>
        <w:rPr/>
      </w:pPr>
      <w:bookmarkStart w:id="10" w:name="부-칙-1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2010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0"/>
    </w:p>
    <w:p>
      <w:pPr>
        <w:pStyle w:val="Heading2"/>
        <w:rPr/>
      </w:pPr>
      <w:bookmarkStart w:id="11" w:name="부-칙-2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2014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1"/>
    </w:p>
    <w:p>
      <w:pPr>
        <w:pStyle w:val="Heading2"/>
        <w:rPr/>
      </w:pPr>
      <w:bookmarkStart w:id="12" w:name="부-칙-3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2015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2"/>
    </w:p>
    <w:p>
      <w:pPr>
        <w:pStyle w:val="Heading2"/>
        <w:rPr/>
      </w:pPr>
      <w:bookmarkStart w:id="13" w:name="부-칙-4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2016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3"/>
    </w:p>
    <w:p>
      <w:pPr>
        <w:pStyle w:val="Heading2"/>
        <w:rPr/>
      </w:pPr>
      <w:bookmarkStart w:id="14" w:name="부-칙-5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2016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14"/>
    </w:p>
    <w:p>
      <w:pPr>
        <w:pStyle w:val="Heading2"/>
        <w:rPr/>
      </w:pPr>
      <w:bookmarkStart w:id="15" w:name="부-칙-6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2018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5"/>
    </w:p>
    <w:p>
      <w:pPr>
        <w:pStyle w:val="Heading2"/>
        <w:rPr/>
      </w:pPr>
      <w:bookmarkStart w:id="16" w:name="부-칙-7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2019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16"/>
    </w:p>
    <w:p>
      <w:pPr>
        <w:pStyle w:val="Heading2"/>
        <w:rPr/>
      </w:pPr>
      <w:bookmarkStart w:id="17" w:name="부-칙-8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2024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5</w:t>
      </w:r>
      <w:r>
        <w:rPr/>
        <w:t>일부터 시행한다</w:t>
      </w:r>
      <w:r>
        <w:rPr/>
        <w:t>.</w:t>
      </w:r>
      <w:bookmarkEnd w:id="17"/>
    </w:p>
    <w:p>
      <w:pPr>
        <w:pStyle w:val="Heading2"/>
        <w:rPr/>
      </w:pPr>
      <w:bookmarkStart w:id="18" w:name="부-칙-9"/>
      <w:r>
        <w:rPr/>
        <w:t>부 칙</w:t>
      </w:r>
    </w:p>
    <w:p>
      <w:pPr>
        <w:pStyle w:val="FirstParagraph"/>
        <w:rPr/>
      </w:pPr>
      <w:r>
        <w:rPr/>
        <w:t xml:space="preserve">이 지침은 </w:t>
      </w:r>
      <w:r>
        <w:rPr/>
        <w:t>2024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15</w:t>
      </w:r>
      <w:r>
        <w:rPr/>
        <w:t>일부터 시행한다</w:t>
      </w:r>
      <w:r>
        <w:rPr/>
        <w:t>.</w:t>
      </w:r>
      <w:bookmarkEnd w:id="18"/>
    </w:p>
    <w:p>
      <w:pPr>
        <w:pStyle w:val="Heading2"/>
        <w:rPr/>
      </w:pPr>
      <w:bookmarkStart w:id="19" w:name="부-칙-10"/>
      <w:r>
        <w:rPr/>
        <w:t>부 칙</w:t>
      </w:r>
    </w:p>
    <w:p>
      <w:pPr>
        <w:pStyle w:val="FirstParagraph"/>
        <w:spacing w:before="180" w:after="180"/>
        <w:rPr/>
      </w:pPr>
      <w:r>
        <w:rPr/>
        <w:t xml:space="preserve">이 지침은 </w:t>
      </w:r>
      <w:r>
        <w:rPr/>
        <w:t>2025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0"/>
      <w:bookmarkEnd w:id="1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2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3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2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9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1"/>
    <w:lvlOverride w:ilvl="0">
      <w:startOverride w:val="1"/>
    </w:lvlOverride>
  </w:num>
  <w:num w:numId="24">
    <w:abstractNumId w:val="2"/>
    <w:lvlOverride w:ilvl="0">
      <w:startOverride w:val="2"/>
    </w:lvlOverride>
  </w:num>
  <w:num w:numId="25">
    <w:abstractNumId w:val="1"/>
    <w:lvlOverride w:ilvl="0">
      <w:startOverride w:val="1"/>
    </w:lvlOverride>
  </w:num>
  <w:num w:numId="26">
    <w:abstractNumId w:val="2"/>
    <w:lvlOverride w:ilvl="0">
      <w:startOverride w:val="2"/>
    </w:lvlOverride>
  </w:num>
  <w:num w:numId="27">
    <w:abstractNumId w:val="5"/>
    <w:lvlOverride w:ilvl="0">
      <w:startOverride w:val="1"/>
    </w:lvlOverride>
  </w:num>
  <w:num w:numId="28">
    <w:abstractNumId w:val="6"/>
    <w:lvlOverride w:ilvl="0">
      <w:startOverride w:val="2"/>
    </w:lvlOverride>
  </w:num>
  <w:num w:numId="29">
    <w:abstractNumId w:val="7"/>
    <w:lvlOverride w:ilvl="0">
      <w:startOverride w:val="3"/>
    </w:lvlOverride>
  </w:num>
  <w:num w:numId="30">
    <w:abstractNumId w:val="1"/>
    <w:lvlOverride w:ilvl="0">
      <w:startOverride w:val="1"/>
    </w:lvlOverride>
  </w:num>
  <w:num w:numId="31">
    <w:abstractNumId w:val="5"/>
    <w:lvlOverride w:ilvl="0">
      <w:startOverride w:val="1"/>
    </w:lvlOverride>
  </w:num>
  <w:num w:numId="32">
    <w:abstractNumId w:val="5"/>
  </w:num>
  <w:num w:numId="33">
    <w:abstractNumId w:val="5"/>
  </w:num>
  <w:num w:numId="34">
    <w:abstractNumId w:val="5"/>
  </w:num>
  <w:num w:numId="35">
    <w:abstractNumId w:val="2"/>
    <w:lvlOverride w:ilvl="0">
      <w:startOverride w:val="2"/>
    </w:lvlOverride>
  </w:num>
  <w:num w:numId="36">
    <w:abstractNumId w:val="5"/>
    <w:lvlOverride w:ilvl="0">
      <w:startOverride w:val="1"/>
    </w:lvlOverride>
  </w:num>
  <w:num w:numId="37">
    <w:abstractNumId w:val="6"/>
    <w:lvlOverride w:ilvl="0">
      <w:startOverride w:val="2"/>
    </w:lvlOverride>
  </w:num>
  <w:num w:numId="38">
    <w:abstractNumId w:val="1"/>
    <w:lvlOverride w:ilvl="0">
      <w:startOverride w:val="1"/>
    </w:lvlOverride>
  </w:num>
  <w:num w:numId="39">
    <w:abstractNumId w:val="2"/>
    <w:lvlOverride w:ilvl="0">
      <w:startOverride w:val="2"/>
    </w:lvlOverride>
  </w:num>
  <w:num w:numId="40">
    <w:abstractNumId w:val="15"/>
    <w:lvlOverride w:ilvl="0">
      <w:startOverride w:val="3"/>
    </w:lvlOverride>
  </w:num>
  <w:num w:numId="41">
    <w:abstractNumId w:val="1"/>
    <w:lvlOverride w:ilvl="0">
      <w:startOverride w:val="1"/>
    </w:lvlOverride>
  </w:num>
  <w:num w:numId="42">
    <w:abstractNumId w:val="5"/>
    <w:lvlOverride w:ilvl="0">
      <w:startOverride w:val="1"/>
    </w:lvlOverride>
  </w:num>
  <w:num w:numId="43">
    <w:abstractNumId w:val="5"/>
  </w:num>
  <w:num w:numId="44">
    <w:abstractNumId w:val="5"/>
  </w:num>
  <w:num w:numId="45">
    <w:abstractNumId w:val="5"/>
    <w:lvlOverride w:ilvl="0">
      <w:startOverride w:val="1"/>
    </w:lvlOverride>
  </w:num>
  <w:num w:numId="46">
    <w:abstractNumId w:val="5"/>
  </w:num>
  <w:num w:numId="47">
    <w:abstractNumId w:val="5"/>
  </w:num>
  <w:num w:numId="48">
    <w:abstractNumId w:val="2"/>
    <w:lvlOverride w:ilvl="0">
      <w:startOverride w:val="2"/>
    </w:lvlOverride>
  </w:num>
  <w:num w:numId="49">
    <w:abstractNumId w:val="1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2026-09-10T04:14:16Z</dcterms:created>
  <dc:creator/>
  <dc:description/>
  <dc:language>en-US</dc:language>
  <cp:lastModifiedBy/>
  <dcterms:modified xsi:type="dcterms:W3CDTF">2026-09-10T04:14:16Z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