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비예금상품위원회-운영지침"/>
      <w:r>
        <w:rPr/>
        <w:t>비예금상품위원회 운영지침</w:t>
      </w:r>
    </w:p>
    <w:p>
      <w:pPr>
        <w:pStyle w:val="FirstParagraph"/>
        <w:rPr/>
      </w:pPr>
      <w:r>
        <w:rPr/>
        <w:t xml:space="preserve">ㆍ제정 </w:t>
      </w:r>
      <w:r>
        <w:rPr/>
        <w:t>2021-01-01</w:t>
      </w:r>
    </w:p>
    <w:p>
      <w:pPr>
        <w:pStyle w:val="BodyText"/>
        <w:rPr/>
      </w:pPr>
      <w:r>
        <w:rPr/>
        <w:t xml:space="preserve">ㆍ개정 </w:t>
      </w:r>
      <w:r>
        <w:rPr/>
        <w:t>2022-01-12</w:t>
      </w:r>
    </w:p>
    <w:p>
      <w:pPr>
        <w:pStyle w:val="BodyText"/>
        <w:rPr/>
      </w:pPr>
      <w:r>
        <w:rPr/>
        <w:t xml:space="preserve">ㆍ개정 </w:t>
      </w:r>
      <w:r>
        <w:rPr/>
        <w:t>2023-06-01</w:t>
      </w:r>
    </w:p>
    <w:p>
      <w:pPr>
        <w:pStyle w:val="BodyText"/>
        <w:rPr/>
      </w:pPr>
      <w:r>
        <w:rPr/>
        <w:t xml:space="preserve">ㆍ개정 </w:t>
      </w:r>
      <w:r>
        <w:rPr/>
        <w:t>2024-01-01</w:t>
      </w:r>
    </w:p>
    <w:p>
      <w:pPr>
        <w:pStyle w:val="BodyText"/>
        <w:rPr/>
      </w:pPr>
      <w:r>
        <w:rPr/>
        <w:t xml:space="preserve">ㆍ개정 </w:t>
      </w:r>
      <w:r>
        <w:rPr/>
        <w:t>2025-01-01</w:t>
      </w:r>
    </w:p>
    <w:p>
      <w:pPr>
        <w:pStyle w:val="BodyText"/>
        <w:rPr/>
      </w:pPr>
      <w:r>
        <w:rPr/>
        <w:t xml:space="preserve">ㆍ개정 </w:t>
      </w:r>
      <w:r>
        <w:rPr/>
        <w:t>2025-11-10</w:t>
      </w:r>
    </w:p>
    <w:p>
      <w:pPr>
        <w:pStyle w:val="BodyText"/>
        <w:rPr/>
      </w:pPr>
      <w:r>
        <w:rPr/>
        <w:t xml:space="preserve">ㆍ개정 </w:t>
      </w:r>
      <w:r>
        <w:rPr/>
        <w:t>2026-07-01</w:t>
      </w:r>
    </w:p>
    <w:p>
      <w:pPr>
        <w:pStyle w:val="Heading2"/>
        <w:rPr/>
      </w:pPr>
      <w:bookmarkStart w:id="1" w:name="제1장-총칙"/>
      <w:r>
        <w:rPr/>
        <w:t>제</w:t>
      </w:r>
      <w:r>
        <w:rPr/>
        <w:t>1</w:t>
      </w:r>
      <w:r>
        <w:rPr/>
        <w:t>장 총칙</w:t>
      </w:r>
    </w:p>
    <w:p>
      <w:pPr>
        <w:pStyle w:val="Compact"/>
        <w:numPr>
          <w:ilvl w:val="0"/>
          <w:numId w:val="34"/>
        </w:numPr>
        <w:rPr/>
      </w:pPr>
      <w:r>
        <w:rPr/>
        <w:t>목적</w:t>
      </w:r>
    </w:p>
    <w:p>
      <w:pPr>
        <w:pStyle w:val="FirstParagraph"/>
        <w:rPr/>
      </w:pPr>
      <w:r>
        <w:rPr/>
        <w:t>이 지침은 「은행 비예금상품 내부통제 모범규준」 에서 정한 비예금금융상품의 기획</w:t>
      </w:r>
      <w:r>
        <w:rPr/>
        <w:t>·</w:t>
      </w:r>
      <w:r>
        <w:rPr/>
        <w:t>선정 및 판매</w:t>
      </w:r>
      <w:r>
        <w:rPr/>
        <w:t xml:space="preserve">, </w:t>
      </w:r>
      <w:r>
        <w:rPr/>
        <w:t>사후관리에 관한 사항을 협의하기 위한 비예금상품위윈회 및 비예금상품위원회 산하 조직의 설치와 운영 등에 관한 사항을 정함을 목적으로 한다</w:t>
      </w:r>
      <w:r>
        <w:rPr/>
        <w:t>.</w:t>
      </w:r>
    </w:p>
    <w:p>
      <w:pPr>
        <w:pStyle w:val="Compact"/>
        <w:numPr>
          <w:ilvl w:val="0"/>
          <w:numId w:val="35"/>
        </w:numPr>
        <w:rPr/>
      </w:pPr>
      <w:r>
        <w:rPr/>
        <w:t>용어의 정의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이 지침에서 사용하는 용어의 정의는 다음과 같다</w:t>
      </w:r>
      <w:r>
        <w:rPr/>
        <w:t>.</w:t>
      </w:r>
    </w:p>
    <w:p>
      <w:pPr>
        <w:pStyle w:val="Normal"/>
        <w:numPr>
          <w:ilvl w:val="0"/>
          <w:numId w:val="36"/>
        </w:numPr>
        <w:rPr/>
      </w:pPr>
      <w:r>
        <w:rPr/>
        <w:t>“</w:t>
      </w:r>
      <w:r>
        <w:rPr/>
        <w:t>비예금 금융상품</w:t>
      </w:r>
      <w:r>
        <w:rPr/>
        <w:t>(</w:t>
      </w:r>
      <w:r>
        <w:rPr/>
        <w:t>이하 ‘비예금상품’이라 한다</w:t>
      </w:r>
      <w:r>
        <w:rPr/>
        <w:t>)”</w:t>
      </w:r>
      <w:r>
        <w:rPr/>
        <w:t>이란 은행이 판매하는 금융상품 중 「은행법」에 따른 예금상품 등 원금이 보장되는 상품이 아닌 금융상품을 말한다</w:t>
      </w:r>
      <w:r>
        <w:rPr/>
        <w:t>.</w:t>
      </w:r>
    </w:p>
    <w:p>
      <w:pPr>
        <w:pStyle w:val="Normal"/>
        <w:numPr>
          <w:ilvl w:val="0"/>
          <w:numId w:val="3"/>
        </w:numPr>
        <w:rPr/>
      </w:pPr>
      <w:r>
        <w:rPr/>
        <w:t>“</w:t>
      </w:r>
      <w:r>
        <w:rPr/>
        <w:t>고난도 금융상품”이란 「자본시장과 금융투자업에 관한 법률」 시행령 제</w:t>
      </w:r>
      <w:r>
        <w:rPr/>
        <w:t>2</w:t>
      </w:r>
      <w:r>
        <w:rPr/>
        <w:t>조 제</w:t>
      </w:r>
      <w:r>
        <w:rPr/>
        <w:t>7</w:t>
      </w:r>
      <w:r>
        <w:rPr/>
        <w:t>호의 고난도금융투자상품을 말한다</w:t>
      </w:r>
      <w:r>
        <w:rPr/>
        <w:t>.</w:t>
      </w:r>
    </w:p>
    <w:p>
      <w:pPr>
        <w:pStyle w:val="Normal"/>
        <w:numPr>
          <w:ilvl w:val="0"/>
          <w:numId w:val="3"/>
        </w:numPr>
        <w:rPr/>
      </w:pPr>
      <w:r>
        <w:rPr/>
        <w:t>“</w:t>
      </w:r>
      <w:r>
        <w:rPr/>
        <w:t>내부통제”란 은행의 목표달성을 위하여 모든 임직원이 직무 수행시 준수해야 하는 일련의 통제 과정을 말한다</w:t>
      </w:r>
      <w:r>
        <w:rPr/>
        <w:t>.</w:t>
      </w:r>
    </w:p>
    <w:p>
      <w:pPr>
        <w:pStyle w:val="Normal"/>
        <w:numPr>
          <w:ilvl w:val="0"/>
          <w:numId w:val="3"/>
        </w:numPr>
        <w:rPr/>
      </w:pPr>
      <w:r>
        <w:rPr/>
        <w:t>“</w:t>
      </w:r>
      <w:r>
        <w:rPr/>
        <w:t>내부통제기준”이란 법령을 준수하고</w:t>
      </w:r>
      <w:r>
        <w:rPr/>
        <w:t xml:space="preserve">, </w:t>
      </w:r>
      <w:r>
        <w:rPr/>
        <w:t>경영을 건전하게 하며</w:t>
      </w:r>
      <w:r>
        <w:rPr/>
        <w:t xml:space="preserve">, </w:t>
      </w:r>
      <w:r>
        <w:rPr/>
        <w:t>은행이용자 및 주주 등을 보호하기 위하여 은행 임직원이 직무를 수행할 때 준수하여야 할 기준 및 절차를 말한다</w:t>
      </w:r>
      <w:r>
        <w:rPr/>
        <w:t>.</w:t>
      </w:r>
    </w:p>
    <w:p>
      <w:pPr>
        <w:pStyle w:val="Normal"/>
        <w:numPr>
          <w:ilvl w:val="0"/>
          <w:numId w:val="3"/>
        </w:numPr>
        <w:rPr/>
      </w:pPr>
      <w:r>
        <w:rPr/>
        <w:t>“</w:t>
      </w:r>
      <w:r>
        <w:rPr/>
        <w:t>제조 금융회사”란 비예금상품을 제조하는 금융회사를 말하며</w:t>
      </w:r>
      <w:r>
        <w:rPr/>
        <w:t>, “</w:t>
      </w:r>
      <w:r>
        <w:rPr/>
        <w:t>제조”란 금융사가 신규로 금융상품을 설계</w:t>
      </w:r>
      <w:r>
        <w:rPr/>
        <w:t xml:space="preserve">, </w:t>
      </w:r>
      <w:r>
        <w:rPr/>
        <w:t>개발</w:t>
      </w:r>
      <w:r>
        <w:rPr/>
        <w:t xml:space="preserve">, </w:t>
      </w:r>
      <w:r>
        <w:rPr/>
        <w:t>발행하는 행위를 말한다</w:t>
      </w:r>
      <w:r>
        <w:rPr/>
        <w:t>.</w:t>
      </w:r>
    </w:p>
    <w:p>
      <w:pPr>
        <w:pStyle w:val="Normal"/>
        <w:numPr>
          <w:ilvl w:val="0"/>
          <w:numId w:val="3"/>
        </w:numPr>
        <w:rPr/>
      </w:pPr>
      <w:r>
        <w:rPr/>
        <w:t>“</w:t>
      </w:r>
      <w:r>
        <w:rPr/>
        <w:t>비예금상품위원회</w:t>
      </w:r>
      <w:r>
        <w:rPr/>
        <w:t>(</w:t>
      </w:r>
      <w:r>
        <w:rPr/>
        <w:t>이하 ‘위원회’라 한다</w:t>
      </w:r>
      <w:r>
        <w:rPr/>
        <w:t>)”</w:t>
      </w:r>
      <w:r>
        <w:rPr/>
        <w:t>란 비예금상품의 기획</w:t>
      </w:r>
      <w:r>
        <w:rPr/>
        <w:t>·</w:t>
      </w:r>
      <w:r>
        <w:rPr/>
        <w:t>선정 및 판매</w:t>
      </w:r>
      <w:r>
        <w:rPr/>
        <w:t xml:space="preserve">, </w:t>
      </w:r>
      <w:r>
        <w:rPr/>
        <w:t>사후관리에 관한 사항을 협의하기 위하여 설치한 임원급 협의체를 말한다</w:t>
      </w:r>
      <w:r>
        <w:rPr/>
        <w:t>.</w:t>
      </w:r>
    </w:p>
    <w:p>
      <w:pPr>
        <w:pStyle w:val="Normal"/>
        <w:numPr>
          <w:ilvl w:val="0"/>
          <w:numId w:val="3"/>
        </w:numPr>
        <w:rPr/>
      </w:pPr>
      <w:r>
        <w:rPr/>
        <w:t>“</w:t>
      </w:r>
      <w:r>
        <w:rPr/>
        <w:t>비예금상품협의회</w:t>
      </w:r>
      <w:r>
        <w:rPr/>
        <w:t>(</w:t>
      </w:r>
      <w:r>
        <w:rPr/>
        <w:t>이하 ‘협의회’라 한다</w:t>
      </w:r>
      <w:r>
        <w:rPr/>
        <w:t>)”</w:t>
      </w:r>
      <w:r>
        <w:rPr/>
        <w:t>란 위원회의 효율적 운영을 위해 위원회가 소관업무의 일부를 처리하게 한 위원회 산하 부서장급 협의체를 말한다</w:t>
      </w:r>
      <w:r>
        <w:rPr/>
        <w:t>.</w:t>
      </w:r>
    </w:p>
    <w:p>
      <w:pPr>
        <w:pStyle w:val="Normal"/>
        <w:numPr>
          <w:ilvl w:val="0"/>
          <w:numId w:val="3"/>
        </w:numPr>
        <w:rPr/>
      </w:pPr>
      <w:r>
        <w:rPr/>
        <w:t>“</w:t>
      </w:r>
      <w:r>
        <w:rPr/>
        <w:t>상품담당부서”란 선정 업무를 제외한 상품의 기획</w:t>
      </w:r>
      <w:r>
        <w:rPr/>
        <w:t>·</w:t>
      </w:r>
      <w:r>
        <w:rPr/>
        <w:t>판매</w:t>
      </w:r>
      <w:r>
        <w:rPr/>
        <w:t xml:space="preserve">, </w:t>
      </w:r>
      <w:r>
        <w:rPr/>
        <w:t>모니터링 및 사후관리 업무를 담당하는 부서를 말한다</w:t>
      </w:r>
      <w:r>
        <w:rPr/>
        <w:t>.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그 밖에 이 지침에서 사용하는 용어의 정의는 「은행법」</w:t>
      </w:r>
      <w:r>
        <w:rPr/>
        <w:t xml:space="preserve">, </w:t>
      </w:r>
      <w:r>
        <w:rPr/>
        <w:t>「금융회사의 지배구조에 관한 법률」</w:t>
      </w:r>
      <w:r>
        <w:rPr/>
        <w:t xml:space="preserve">, </w:t>
      </w:r>
      <w:r>
        <w:rPr/>
        <w:t>「자본시장과 금융투자업에 관한 법률」</w:t>
      </w:r>
      <w:r>
        <w:rPr/>
        <w:t xml:space="preserve">, </w:t>
      </w:r>
      <w:r>
        <w:rPr/>
        <w:t>「금융소비자 보호에 관한 법률」 등</w:t>
      </w:r>
      <w:r>
        <w:rPr/>
        <w:t>(</w:t>
      </w:r>
      <w:r>
        <w:rPr/>
        <w:t>이하 ‘관련법률’ 이라 한다</w:t>
      </w:r>
      <w:r>
        <w:rPr/>
        <w:t>)</w:t>
      </w:r>
      <w:r>
        <w:rPr/>
        <w:t>에서 정하는 바에 따른다</w:t>
      </w:r>
      <w:r>
        <w:rPr/>
        <w:t>.</w:t>
      </w:r>
    </w:p>
    <w:p>
      <w:pPr>
        <w:pStyle w:val="Compact"/>
        <w:numPr>
          <w:ilvl w:val="0"/>
          <w:numId w:val="37"/>
        </w:numPr>
        <w:rPr/>
      </w:pPr>
      <w:r>
        <w:rPr/>
        <w:t>적용대상 상품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이 지침은 「금융소비자보호에 관한 법률」 제</w:t>
      </w:r>
      <w:r>
        <w:rPr/>
        <w:t>2</w:t>
      </w:r>
      <w:r>
        <w:rPr/>
        <w:t>조 제</w:t>
      </w:r>
      <w:r>
        <w:rPr/>
        <w:t>10</w:t>
      </w:r>
      <w:r>
        <w:rPr/>
        <w:t>호에 따른 일반금융소비자와 「중소기업기본법」 제</w:t>
      </w:r>
      <w:r>
        <w:rPr/>
        <w:t>2</w:t>
      </w:r>
      <w:r>
        <w:rPr/>
        <w:t>조 제</w:t>
      </w:r>
      <w:r>
        <w:rPr/>
        <w:t>1</w:t>
      </w:r>
      <w:r>
        <w:rPr/>
        <w:t xml:space="preserve">항에 따른 중소기업 </w:t>
      </w:r>
      <w:r>
        <w:rPr/>
        <w:t>(</w:t>
      </w:r>
      <w:r>
        <w:rPr/>
        <w:t>「자본시장과 금융투자업에 관한 법률」에 따른 전문투자자는 제외한다</w:t>
      </w:r>
      <w:r>
        <w:rPr/>
        <w:t>)</w:t>
      </w:r>
      <w:r>
        <w:rPr/>
        <w:t>에 판매하는 모든 비예금상품에 적용된다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다음 각 호의 상품에는 적용하지 아니한다</w:t>
      </w:r>
      <w:r>
        <w:rPr/>
        <w:t>.</w:t>
      </w:r>
    </w:p>
    <w:p>
      <w:pPr>
        <w:pStyle w:val="Normal"/>
        <w:numPr>
          <w:ilvl w:val="0"/>
          <w:numId w:val="38"/>
        </w:numPr>
        <w:rPr/>
      </w:pPr>
      <w:r>
        <w:rPr/>
        <w:t>「보험업법」에 따른 보험상품</w:t>
      </w:r>
      <w:r>
        <w:rPr/>
        <w:t>(</w:t>
      </w:r>
      <w:r>
        <w:rPr/>
        <w:t>변액보험계약은 제외한다</w:t>
      </w:r>
      <w:r>
        <w:rPr/>
        <w:t>)</w:t>
      </w:r>
    </w:p>
    <w:p>
      <w:pPr>
        <w:pStyle w:val="Normal"/>
        <w:numPr>
          <w:ilvl w:val="0"/>
          <w:numId w:val="39"/>
        </w:numPr>
        <w:rPr/>
      </w:pPr>
      <w:r>
        <w:rPr/>
        <w:t>「여신전문금융업법」에 따른 신용카드</w:t>
      </w:r>
      <w:r>
        <w:rPr/>
        <w:t xml:space="preserve">, </w:t>
      </w:r>
      <w:r>
        <w:rPr/>
        <w:t>직불카드</w:t>
      </w:r>
      <w:r>
        <w:rPr/>
        <w:t xml:space="preserve">, </w:t>
      </w:r>
      <w:r>
        <w:rPr/>
        <w:t>선불카드 및 「전자금융거래법」에 따른 직불전자지급수단</w:t>
      </w:r>
      <w:r>
        <w:rPr/>
        <w:t xml:space="preserve">, </w:t>
      </w:r>
      <w:r>
        <w:rPr/>
        <w:t>선불전자지급수단</w:t>
      </w:r>
    </w:p>
    <w:p>
      <w:pPr>
        <w:pStyle w:val="Normal"/>
        <w:numPr>
          <w:ilvl w:val="0"/>
          <w:numId w:val="40"/>
        </w:numPr>
        <w:rPr/>
      </w:pPr>
      <w:r>
        <w:rPr/>
        <w:t>「은행법」에 따른 대출 등 신용공여</w:t>
      </w:r>
    </w:p>
    <w:p>
      <w:pPr>
        <w:pStyle w:val="Normal"/>
        <w:numPr>
          <w:ilvl w:val="0"/>
          <w:numId w:val="41"/>
        </w:numPr>
        <w:rPr/>
      </w:pPr>
      <w:r>
        <w:rPr/>
        <w:t>「자본시장과 금융투자법에 관한 법률」에 따른 신탁</w:t>
      </w:r>
      <w:r>
        <w:rPr/>
        <w:t>(</w:t>
      </w:r>
      <w:r>
        <w:rPr/>
        <w:t>금융투자상품 이외의 자산과 제</w:t>
      </w:r>
      <w:r>
        <w:rPr/>
        <w:t>7</w:t>
      </w:r>
      <w:r>
        <w:rPr/>
        <w:t>호의자산으로 운용되는 경우로 한한다</w:t>
      </w:r>
      <w:r>
        <w:rPr/>
        <w:t>)</w:t>
      </w:r>
    </w:p>
    <w:p>
      <w:pPr>
        <w:pStyle w:val="Normal"/>
        <w:numPr>
          <w:ilvl w:val="0"/>
          <w:numId w:val="42"/>
        </w:numPr>
        <w:rPr/>
      </w:pPr>
      <w:r>
        <w:rPr/>
        <w:t>「근로자 퇴직급여 보장법」에 따른 퇴직연금</w:t>
      </w:r>
      <w:r>
        <w:rPr/>
        <w:t>(</w:t>
      </w:r>
      <w:r>
        <w:rPr/>
        <w:t>고난도 금융상품에 해당하지 않는 경우로 한한다</w:t>
      </w:r>
      <w:r>
        <w:rPr/>
        <w:t>)</w:t>
      </w:r>
    </w:p>
    <w:p>
      <w:pPr>
        <w:pStyle w:val="Normal"/>
        <w:numPr>
          <w:ilvl w:val="0"/>
          <w:numId w:val="43"/>
        </w:numPr>
        <w:rPr/>
      </w:pPr>
      <w:r>
        <w:rPr/>
        <w:t>「조세특례제한법」에 따른 개인종합자산관리계좌</w:t>
      </w:r>
      <w:r>
        <w:rPr/>
        <w:t>(</w:t>
      </w:r>
      <w:r>
        <w:rPr/>
        <w:t>금융투자상품 이외의 자산과 제</w:t>
      </w:r>
      <w:r>
        <w:rPr/>
        <w:t>7</w:t>
      </w:r>
      <w:r>
        <w:rPr/>
        <w:t>호의 자산으로 운용되는 경우로 한한다</w:t>
      </w:r>
      <w:r>
        <w:rPr/>
        <w:t>)</w:t>
      </w:r>
    </w:p>
    <w:p>
      <w:pPr>
        <w:pStyle w:val="Normal"/>
        <w:numPr>
          <w:ilvl w:val="0"/>
          <w:numId w:val="44"/>
        </w:numPr>
        <w:rPr/>
      </w:pPr>
      <w:r>
        <w:rPr/>
        <w:t>국공채</w:t>
      </w:r>
      <w:r>
        <w:rPr/>
        <w:t xml:space="preserve">, </w:t>
      </w:r>
      <w:r>
        <w:rPr/>
        <w:t>특수채</w:t>
      </w:r>
      <w:r>
        <w:rPr/>
        <w:t>, MMF, MMT, RP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가항에도 불구하고 상품담당부서는 원금손실 가능성 및 불완전판매 소지가 낮은 비예금상품에 한하여 이사회 승인을 거쳐 이 지침을 적용하지 않을 수 있다</w:t>
      </w:r>
      <w:r>
        <w:rPr/>
        <w:t>.</w:t>
      </w:r>
    </w:p>
    <w:p>
      <w:pPr>
        <w:pStyle w:val="Compact"/>
        <w:numPr>
          <w:ilvl w:val="0"/>
          <w:numId w:val="45"/>
        </w:numPr>
        <w:rPr/>
      </w:pPr>
      <w:r>
        <w:rPr/>
        <w:t>신의성실 원칙</w:t>
      </w:r>
    </w:p>
    <w:p>
      <w:pPr>
        <w:pStyle w:val="FirstParagraph"/>
        <w:rPr/>
      </w:pPr>
      <w:r>
        <w:rPr/>
        <w:t>위원회 또는 협의회 업무와 관련하여 임직원은 비예금상품의 기획</w:t>
      </w:r>
      <w:r>
        <w:rPr/>
        <w:t>·</w:t>
      </w:r>
      <w:r>
        <w:rPr/>
        <w:t>선정 및 판매</w:t>
      </w:r>
      <w:r>
        <w:rPr/>
        <w:t xml:space="preserve">, </w:t>
      </w:r>
      <w:r>
        <w:rPr/>
        <w:t>사후관리 등 비예금상품 판매의 모든 업무 단계에 있어 관련 법규를 준수하며 고객의 권익을 최우선에 두고 업무를 수행하여야 한다</w:t>
      </w:r>
      <w:r>
        <w:rPr/>
        <w:t>.</w:t>
      </w:r>
      <w:bookmarkEnd w:id="1"/>
    </w:p>
    <w:p>
      <w:pPr>
        <w:pStyle w:val="Heading2"/>
        <w:rPr/>
      </w:pPr>
      <w:bookmarkStart w:id="2" w:name="제2장-비예금상품위원회"/>
      <w:r>
        <w:rPr/>
        <w:t>제</w:t>
      </w:r>
      <w:r>
        <w:rPr/>
        <w:t>2</w:t>
      </w:r>
      <w:r>
        <w:rPr/>
        <w:t>장 비예금상품위원회</w:t>
      </w:r>
    </w:p>
    <w:p>
      <w:pPr>
        <w:pStyle w:val="Compact"/>
        <w:numPr>
          <w:ilvl w:val="0"/>
          <w:numId w:val="46"/>
        </w:numPr>
        <w:rPr/>
      </w:pPr>
      <w:r>
        <w:rPr/>
        <w:t>설치</w:t>
      </w:r>
    </w:p>
    <w:p>
      <w:pPr>
        <w:pStyle w:val="FirstParagraph"/>
        <w:rPr/>
      </w:pPr>
      <w:r>
        <w:rPr/>
        <w:t>은행은 비예금상품의 기획</w:t>
      </w:r>
      <w:r>
        <w:rPr/>
        <w:t>·</w:t>
      </w:r>
      <w:r>
        <w:rPr/>
        <w:t>선정 및 판매</w:t>
      </w:r>
      <w:r>
        <w:rPr/>
        <w:t xml:space="preserve">, </w:t>
      </w:r>
      <w:r>
        <w:rPr/>
        <w:t>사후관리에 관한 사항을 협의하기 위하여 위원회를 설치한다</w:t>
      </w:r>
      <w:r>
        <w:rPr/>
        <w:t>.</w:t>
      </w:r>
    </w:p>
    <w:p>
      <w:pPr>
        <w:pStyle w:val="Compact"/>
        <w:numPr>
          <w:ilvl w:val="0"/>
          <w:numId w:val="47"/>
        </w:numPr>
        <w:rPr/>
      </w:pPr>
      <w:r>
        <w:rPr/>
        <w:t>역할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위원회는 다음 각 호의 역할을 수행한다</w:t>
      </w:r>
      <w:r>
        <w:rPr/>
        <w:t>.</w:t>
      </w:r>
    </w:p>
    <w:p>
      <w:pPr>
        <w:pStyle w:val="Normal"/>
        <w:numPr>
          <w:ilvl w:val="0"/>
          <w:numId w:val="48"/>
        </w:numPr>
        <w:rPr/>
      </w:pPr>
      <w:r>
        <w:rPr/>
        <w:t>비예금상품의 판매여부</w:t>
      </w:r>
      <w:r>
        <w:rPr/>
        <w:t xml:space="preserve">, </w:t>
      </w:r>
      <w:r>
        <w:rPr/>
        <w:t>판매대상 고객군</w:t>
      </w:r>
      <w:r>
        <w:rPr/>
        <w:t xml:space="preserve">, </w:t>
      </w:r>
      <w:r>
        <w:rPr/>
        <w:t>판매한도</w:t>
      </w:r>
      <w:r>
        <w:rPr/>
        <w:t>(</w:t>
      </w:r>
      <w:r>
        <w:rPr/>
        <w:t>고객당 판매한도 및 전체 판매한도의 증액포함</w:t>
      </w:r>
      <w:r>
        <w:rPr/>
        <w:t xml:space="preserve">), </w:t>
      </w:r>
      <w:r>
        <w:rPr/>
        <w:t>판매절차</w:t>
      </w:r>
      <w:r>
        <w:rPr/>
        <w:t xml:space="preserve">, </w:t>
      </w:r>
      <w:r>
        <w:rPr/>
        <w:t>판매방법</w:t>
      </w:r>
      <w:r>
        <w:rPr/>
        <w:t xml:space="preserve">, </w:t>
      </w:r>
      <w:r>
        <w:rPr/>
        <w:t>판매전략</w:t>
      </w:r>
      <w:r>
        <w:rPr/>
        <w:t xml:space="preserve">, </w:t>
      </w:r>
      <w:r>
        <w:rPr/>
        <w:t>상품선정기준</w:t>
      </w:r>
      <w:r>
        <w:rPr/>
        <w:t>(</w:t>
      </w:r>
      <w:r>
        <w:rPr/>
        <w:t>파생결합증권 투자상품의 경우 발생사 선정기준 포함</w:t>
      </w:r>
      <w:r>
        <w:rPr/>
        <w:t xml:space="preserve">) </w:t>
      </w:r>
      <w:r>
        <w:rPr/>
        <w:t>등 상품 기획</w:t>
      </w:r>
      <w:r>
        <w:rPr/>
        <w:t>·</w:t>
      </w:r>
      <w:r>
        <w:rPr/>
        <w:t>선정 전반에 대한 심의</w:t>
      </w:r>
      <w:r>
        <w:rPr/>
        <w:t>·</w:t>
      </w:r>
      <w:r>
        <w:rPr/>
        <w:t xml:space="preserve">결정 </w:t>
      </w:r>
      <w:r>
        <w:rPr/>
        <w:t>(</w:t>
      </w:r>
      <w:r>
        <w:rPr/>
        <w:t>단</w:t>
      </w:r>
      <w:r>
        <w:rPr/>
        <w:t xml:space="preserve">, </w:t>
      </w:r>
      <w:r>
        <w:rPr/>
        <w:t>고객별 한도를 정함에 있어</w:t>
      </w:r>
      <w:r>
        <w:rPr/>
        <w:t xml:space="preserve">, </w:t>
      </w:r>
      <w:r>
        <w:rPr/>
        <w:t>고난도금융상품은 별도의 관리한도를 설정해야 한다</w:t>
      </w:r>
      <w:r>
        <w:rPr/>
        <w:t>.)</w:t>
      </w:r>
    </w:p>
    <w:p>
      <w:pPr>
        <w:pStyle w:val="Normal"/>
        <w:numPr>
          <w:ilvl w:val="0"/>
          <w:numId w:val="49"/>
        </w:numPr>
        <w:rPr/>
      </w:pPr>
      <w:r>
        <w:rPr/>
        <w:t>전체 비예금상품의 판매 후 실적 등 현황</w:t>
      </w:r>
      <w:r>
        <w:rPr/>
        <w:t xml:space="preserve">, </w:t>
      </w:r>
      <w:r>
        <w:rPr/>
        <w:t>판매한도 준수 여부</w:t>
      </w:r>
      <w:r>
        <w:rPr/>
        <w:t xml:space="preserve">, </w:t>
      </w:r>
      <w:r>
        <w:rPr/>
        <w:t>민원 또는 분쟁발생 여부</w:t>
      </w:r>
      <w:r>
        <w:rPr/>
        <w:t xml:space="preserve">, </w:t>
      </w:r>
      <w:r>
        <w:rPr/>
        <w:t>투자자 손익</w:t>
      </w:r>
      <w:r>
        <w:rPr/>
        <w:t xml:space="preserve">, </w:t>
      </w:r>
      <w:r>
        <w:rPr/>
        <w:t>상품의 평가손익 현황</w:t>
      </w:r>
      <w:r>
        <w:rPr/>
        <w:t xml:space="preserve">, </w:t>
      </w:r>
      <w:r>
        <w:rPr/>
        <w:t>시장상황 급변</w:t>
      </w:r>
      <w:r>
        <w:rPr/>
        <w:t xml:space="preserve">, </w:t>
      </w:r>
      <w:r>
        <w:rPr/>
        <w:t>실제 상품선정내역 등 판매 후 사후관리 전반에 대한 모니터링 결과를 정기 또는 수시로 보고받고 이를 심의</w:t>
      </w:r>
      <w:r>
        <w:rPr/>
        <w:t>(</w:t>
      </w:r>
      <w:r>
        <w:rPr/>
        <w:t>단</w:t>
      </w:r>
      <w:r>
        <w:rPr/>
        <w:t xml:space="preserve">, </w:t>
      </w:r>
      <w:r>
        <w:rPr/>
        <w:t>고난도 금융상품의 경우 상품판매부서의 모니터링을 실시한 이후</w:t>
      </w:r>
      <w:r>
        <w:rPr/>
        <w:t xml:space="preserve">, </w:t>
      </w:r>
      <w:r>
        <w:rPr/>
        <w:t>금융소비자보호부</w:t>
      </w:r>
      <w:r>
        <w:rPr/>
        <w:t xml:space="preserve">, </w:t>
      </w:r>
      <w:r>
        <w:rPr/>
        <w:t>리스크관리부서가 판매한도 준수여부</w:t>
      </w:r>
      <w:r>
        <w:rPr/>
        <w:t xml:space="preserve">, </w:t>
      </w:r>
      <w:r>
        <w:rPr/>
        <w:t>투자자손익</w:t>
      </w:r>
      <w:r>
        <w:rPr/>
        <w:t xml:space="preserve">, </w:t>
      </w:r>
      <w:r>
        <w:rPr/>
        <w:t>민원사항 등에 대해 모니터링을 실시하며</w:t>
      </w:r>
      <w:r>
        <w:rPr/>
        <w:t xml:space="preserve">, </w:t>
      </w:r>
      <w:r>
        <w:rPr/>
        <w:t>위원회는 모니터링 결과를 각각 보고 받고 이를 심의</w:t>
      </w:r>
      <w:r>
        <w:rPr/>
        <w:t>)</w:t>
      </w:r>
    </w:p>
    <w:p>
      <w:pPr>
        <w:pStyle w:val="Normal"/>
        <w:numPr>
          <w:ilvl w:val="0"/>
          <w:numId w:val="50"/>
        </w:numPr>
        <w:rPr/>
      </w:pPr>
      <w:r>
        <w:rPr/>
        <w:t>사후관리 과정에서 고객 피해 등 중대한 사안이 발생하거나</w:t>
      </w:r>
      <w:r>
        <w:rPr/>
        <w:t xml:space="preserve">, </w:t>
      </w:r>
      <w:r>
        <w:rPr/>
        <w:t>발생할 우려가 있는 경우 상품의 판매한도 축소</w:t>
      </w:r>
      <w:r>
        <w:rPr/>
        <w:t xml:space="preserve">, </w:t>
      </w:r>
      <w:r>
        <w:rPr/>
        <w:t>판매대상 변경</w:t>
      </w:r>
      <w:r>
        <w:rPr/>
        <w:t xml:space="preserve">, </w:t>
      </w:r>
      <w:r>
        <w:rPr/>
        <w:t>판매중단</w:t>
      </w:r>
      <w:r>
        <w:rPr/>
        <w:t xml:space="preserve">, </w:t>
      </w:r>
      <w:r>
        <w:rPr/>
        <w:t>전담 대응팀 구성 등 대응방안 마련</w:t>
      </w:r>
    </w:p>
    <w:p>
      <w:pPr>
        <w:pStyle w:val="Normal"/>
        <w:numPr>
          <w:ilvl w:val="0"/>
          <w:numId w:val="51"/>
        </w:numPr>
        <w:rPr/>
      </w:pPr>
      <w:r>
        <w:rPr/>
        <w:t>판매 후 모니터링 과정에서 고객의 피해 발생이 우려되거나 발생한 경우 또는 해당 상품과 관련하여 민원 및 불완전판매 사례가 다수 발생한 경우 등 중대한 사안이 발생한 경우 적절한 대응방안 마련 및 조치</w:t>
      </w:r>
    </w:p>
    <w:p>
      <w:pPr>
        <w:pStyle w:val="Normal"/>
        <w:numPr>
          <w:ilvl w:val="0"/>
          <w:numId w:val="52"/>
        </w:numPr>
        <w:rPr/>
      </w:pPr>
      <w:r>
        <w:rPr/>
        <w:t>외부 제조 금융회사의 비예금상품을 판매하는 경우 고객 보호 및 특정 비예금상품 제조회사에 대한 집중 위험 등을 방지하기 위해 제조회사의 재무적 건전성 등 양적요소와 상품운용 및 리스크관리 능력 등 질적 요소를 정기적으로 평가하고 동 평가결과를 상품 선정시 반영</w:t>
      </w:r>
    </w:p>
    <w:p>
      <w:pPr>
        <w:pStyle w:val="Normal"/>
        <w:numPr>
          <w:ilvl w:val="0"/>
          <w:numId w:val="53"/>
        </w:numPr>
        <w:rPr/>
      </w:pPr>
      <w:r>
        <w:rPr/>
        <w:t>기타 비예금상품 판매 관련 주요사항 협의 등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고난도 금융상품에 대해서는 위원회를 최소 월</w:t>
      </w:r>
      <w:r>
        <w:rPr/>
        <w:t>1</w:t>
      </w:r>
      <w:r>
        <w:rPr/>
        <w:t>회 개최하여 가항 제</w:t>
      </w:r>
      <w:r>
        <w:rPr/>
        <w:t>(1)</w:t>
      </w:r>
      <w:r>
        <w:rPr/>
        <w:t>호에 따른 판매여부 및 판매한도를 심의</w:t>
      </w:r>
      <w:r>
        <w:rPr/>
        <w:t>·</w:t>
      </w:r>
      <w:r>
        <w:rPr/>
        <w:t>결정하고</w:t>
      </w:r>
      <w:r>
        <w:rPr/>
        <w:t xml:space="preserve">, </w:t>
      </w:r>
      <w:r>
        <w:rPr/>
        <w:t>가항 제</w:t>
      </w:r>
      <w:r>
        <w:rPr/>
        <w:t>(2)</w:t>
      </w:r>
      <w:r>
        <w:rPr/>
        <w:t>호에 따른 모니터링 결과를 심의한다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위원회 심의</w:t>
      </w:r>
      <w:r>
        <w:rPr/>
        <w:t>·</w:t>
      </w:r>
      <w:r>
        <w:rPr/>
        <w:t>결정과정에서 참석위원이 의견을 표명하는 경우에는 상품판매 담당부서의 후속 검토를 거쳐 차기 회의에 보고하여야 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가항 제</w:t>
      </w:r>
      <w:r>
        <w:rPr/>
        <w:t>(1)</w:t>
      </w:r>
      <w:r>
        <w:rPr/>
        <w:t>호에 따른 판매한도 등을 정하기 위한 세부기준을 마련하고 동 한도 내에서 비예금상품을 판매한다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가항 제</w:t>
      </w:r>
      <w:r>
        <w:rPr/>
        <w:t>(1)</w:t>
      </w:r>
      <w:r>
        <w:rPr/>
        <w:t>호에 따라 위원회가 심의</w:t>
      </w:r>
      <w:r>
        <w:rPr/>
        <w:t>·</w:t>
      </w:r>
      <w:r>
        <w:rPr/>
        <w:t>결정한 판매한도를 증액하고자 하는 경우</w:t>
      </w:r>
      <w:r>
        <w:rPr/>
        <w:t xml:space="preserve">, </w:t>
      </w:r>
      <w:r>
        <w:rPr/>
        <w:t>위원회의 직접 심의를 거쳐 은행장의 승인을 득해야 하며</w:t>
      </w:r>
      <w:r>
        <w:rPr/>
        <w:t xml:space="preserve">, </w:t>
      </w:r>
      <w:r>
        <w:rPr/>
        <w:t>해당 심의내용을 포함한 증액사실은 지원부서가 이사회에 보고해야 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비예금상품 판매 담당부서와 독립부서</w:t>
      </w:r>
      <w:r>
        <w:rPr/>
        <w:t>(</w:t>
      </w:r>
      <w:r>
        <w:rPr/>
        <w:t>금융소비자보호부</w:t>
      </w:r>
      <w:r>
        <w:rPr/>
        <w:t xml:space="preserve">, </w:t>
      </w:r>
      <w:r>
        <w:rPr/>
        <w:t>리스크관리부</w:t>
      </w:r>
      <w:r>
        <w:rPr/>
        <w:t>)</w:t>
      </w:r>
      <w:r>
        <w:rPr/>
        <w:t>를 판매 후 모니터링 담당부서로 지정하며</w:t>
      </w:r>
      <w:r>
        <w:rPr/>
        <w:t xml:space="preserve">, </w:t>
      </w:r>
      <w:r>
        <w:rPr/>
        <w:t>모니터링은 상품판매부서</w:t>
      </w:r>
      <w:r>
        <w:rPr/>
        <w:t xml:space="preserve">, </w:t>
      </w:r>
      <w:r>
        <w:rPr/>
        <w:t>독립부서 순서로 실시한다</w:t>
      </w:r>
      <w:r>
        <w:rPr/>
        <w:t xml:space="preserve">. </w:t>
      </w:r>
      <w:r>
        <w:rPr/>
        <w:t>각 부서는 가항 제</w:t>
      </w:r>
      <w:r>
        <w:rPr/>
        <w:t>(2)</w:t>
      </w:r>
      <w:r>
        <w:rPr/>
        <w:t>호의 사항을 모니터링 해야한다</w:t>
      </w:r>
      <w:r>
        <w:rPr/>
        <w:t>. (</w:t>
      </w:r>
      <w:r>
        <w:rPr/>
        <w:t>단</w:t>
      </w:r>
      <w:r>
        <w:rPr/>
        <w:t xml:space="preserve">, </w:t>
      </w:r>
      <w:r>
        <w:rPr/>
        <w:t>고난도 금융상품에 대한 모니터링은 매월 실시하여야 한다</w:t>
      </w:r>
      <w:r>
        <w:rPr/>
        <w:t>.)</w:t>
      </w:r>
    </w:p>
    <w:p>
      <w:pPr>
        <w:pStyle w:val="Compact"/>
        <w:numPr>
          <w:ilvl w:val="0"/>
          <w:numId w:val="54"/>
        </w:numPr>
        <w:rPr/>
      </w:pPr>
      <w:r>
        <w:rPr/>
        <w:t>구성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위원회는 금융소비자보호 총괄책임자</w:t>
      </w:r>
      <w:r>
        <w:rPr/>
        <w:t xml:space="preserve">(CCO), </w:t>
      </w:r>
      <w:r>
        <w:rPr/>
        <w:t>경영기획그룹장</w:t>
      </w:r>
      <w:r>
        <w:rPr/>
        <w:t xml:space="preserve">, </w:t>
      </w:r>
      <w:r>
        <w:rPr/>
        <w:t>리스크관리그룹장</w:t>
      </w:r>
      <w:r>
        <w:rPr/>
        <w:t xml:space="preserve">, </w:t>
      </w:r>
      <w:r>
        <w:rPr/>
        <w:t>마케팅그룹장</w:t>
      </w:r>
      <w:r>
        <w:rPr/>
        <w:t>,</w:t>
      </w:r>
      <w:r>
        <w:rPr/>
        <w:t>여신그룹장</w:t>
      </w:r>
      <w:r>
        <w:rPr/>
        <w:t xml:space="preserve">, </w:t>
      </w:r>
      <w:r>
        <w:rPr/>
        <w:t>영업지원그룹장</w:t>
      </w:r>
      <w:r>
        <w:rPr/>
        <w:t xml:space="preserve">, </w:t>
      </w:r>
      <w:r>
        <w:rPr/>
        <w:t>준법감시인으로 구성한다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상품담당 임원은 이해상충 있는 상품에 대한 심의</w:t>
      </w:r>
      <w:r>
        <w:rPr/>
        <w:t>·</w:t>
      </w:r>
      <w:r>
        <w:rPr/>
        <w:t>의결에는 참여할 수 없다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위원장은 금융소비자보호 총괄책임자</w:t>
      </w:r>
      <w:r>
        <w:rPr/>
        <w:t>(CCO)</w:t>
      </w:r>
      <w:r>
        <w:rPr/>
        <w:t>로 하며</w:t>
      </w:r>
      <w:r>
        <w:rPr/>
        <w:t xml:space="preserve">, </w:t>
      </w:r>
      <w:r>
        <w:rPr/>
        <w:t>간사는 금융소비자보호부장으로 한다</w:t>
      </w:r>
      <w:r>
        <w:rPr/>
        <w:t xml:space="preserve">. </w:t>
      </w:r>
      <w:r>
        <w:rPr/>
        <w:t>위원장 부재시에는 위원회 소속 선임위원이 순서대로 그 직무를 대행하고</w:t>
      </w:r>
      <w:r>
        <w:rPr/>
        <w:t xml:space="preserve">, </w:t>
      </w:r>
      <w:r>
        <w:rPr/>
        <w:t>간사 부재시에는 금융소비자보호부 소속 선임책임자가 순서대로 그 직무를 대행한다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상품담당 임원은 위원장 직무를 대행하여 위원회를 주재할 수 없다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위원회는 위원회의 전문성과 객관성을 제고하기 위해 필요시 위원회에 외부전문가</w:t>
      </w:r>
      <w:r>
        <w:rPr/>
        <w:t>(</w:t>
      </w:r>
      <w:r>
        <w:rPr/>
        <w:t>법인 포함</w:t>
      </w:r>
      <w:r>
        <w:rPr/>
        <w:t>)</w:t>
      </w:r>
      <w:r>
        <w:rPr/>
        <w:t>를 포함시키거나</w:t>
      </w:r>
      <w:r>
        <w:rPr/>
        <w:t xml:space="preserve">, </w:t>
      </w:r>
      <w:r>
        <w:rPr/>
        <w:t>위원회에 외부전문가를 참석시켜 의견을 청취할 수 있다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위원회는 심의</w:t>
      </w:r>
      <w:r>
        <w:rPr/>
        <w:t>·</w:t>
      </w:r>
      <w:r>
        <w:rPr/>
        <w:t>의결 내용에 대한 의견 청취가 필요한 경우 상품담당 임직원</w:t>
      </w:r>
      <w:r>
        <w:rPr/>
        <w:t xml:space="preserve">, </w:t>
      </w:r>
      <w:r>
        <w:rPr/>
        <w:t>기타 임직원을 위원회에 참석시켜 의견을 청취할 수 있다</w:t>
      </w:r>
      <w:r>
        <w:rPr/>
        <w:t>.</w:t>
      </w:r>
    </w:p>
    <w:p>
      <w:pPr>
        <w:pStyle w:val="Compact"/>
        <w:numPr>
          <w:ilvl w:val="0"/>
          <w:numId w:val="55"/>
        </w:numPr>
        <w:rPr/>
      </w:pPr>
      <w:r>
        <w:rPr/>
        <w:t>지원부서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비예금상품 선정의 객관성과 투명성을 제고하기 위하여 상품판매 및 영업과 관련 없는 부서인 금융소비자보호부</w:t>
      </w:r>
      <w:r>
        <w:rPr/>
        <w:t>(</w:t>
      </w:r>
      <w:r>
        <w:rPr/>
        <w:t>이하 ‘지원부서’라 한다</w:t>
      </w:r>
      <w:r>
        <w:rPr/>
        <w:t>)</w:t>
      </w:r>
      <w:r>
        <w:rPr/>
        <w:t>에서 위원회를 지원한다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비예금상품의 판매 실적은 지원부서 성과평가에 연계하여서는 아니된다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지원부서는 위원회 소집 및 주관</w:t>
      </w:r>
      <w:r>
        <w:rPr/>
        <w:t xml:space="preserve">, </w:t>
      </w:r>
      <w:r>
        <w:rPr/>
        <w:t>위원회 심의결과의 통지</w:t>
      </w:r>
      <w:r>
        <w:rPr/>
        <w:t xml:space="preserve">, </w:t>
      </w:r>
      <w:r>
        <w:rPr/>
        <w:t>위원회 관련 기록의 보관</w:t>
      </w:r>
      <w:r>
        <w:rPr/>
        <w:t>·</w:t>
      </w:r>
      <w:r>
        <w:rPr/>
        <w:t>유지 등 위원회를 보좌하는 역할을 수행한다</w:t>
      </w:r>
      <w:r>
        <w:rPr/>
        <w:t>.</w:t>
      </w:r>
    </w:p>
    <w:p>
      <w:pPr>
        <w:pStyle w:val="Compact"/>
        <w:numPr>
          <w:ilvl w:val="0"/>
          <w:numId w:val="56"/>
        </w:numPr>
        <w:rPr/>
      </w:pPr>
      <w:r>
        <w:rPr/>
        <w:t>회의 사전 준비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회의 일시</w:t>
      </w:r>
      <w:r>
        <w:rPr/>
        <w:t xml:space="preserve">, </w:t>
      </w:r>
      <w:r>
        <w:rPr/>
        <w:t>장소와 안건 등은 위원장이 정하고</w:t>
      </w:r>
      <w:r>
        <w:rPr/>
        <w:t xml:space="preserve">, </w:t>
      </w:r>
      <w:r>
        <w:rPr/>
        <w:t xml:space="preserve">지원부서에서 개최 </w:t>
      </w:r>
      <w:r>
        <w:rPr/>
        <w:t>2</w:t>
      </w:r>
      <w:r>
        <w:rPr/>
        <w:t>영업일 전까지 회의 일시</w:t>
      </w:r>
      <w:r>
        <w:rPr/>
        <w:t xml:space="preserve">, </w:t>
      </w:r>
      <w:r>
        <w:rPr/>
        <w:t>장소와 안건 등을 위원들에게 통지함을 원칙으로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 xml:space="preserve">상품담당부서는 </w:t>
      </w:r>
      <w:r>
        <w:rPr/>
        <w:t xml:space="preserve">7. </w:t>
      </w:r>
      <w:r>
        <w:rPr/>
        <w:t xml:space="preserve">심의∙의결 대상의 원활한 심의 및 의결을 위하여 관련자료를 최소한 위원회 개최 </w:t>
      </w:r>
      <w:r>
        <w:rPr/>
        <w:t>3</w:t>
      </w:r>
      <w:r>
        <w:rPr/>
        <w:t>영업일 전까지 지원부서로 제출하여야 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의결</w:t>
      </w:r>
      <w:r>
        <w:rPr/>
        <w:t>(</w:t>
      </w:r>
      <w:r>
        <w:rPr/>
        <w:t>결의</w:t>
      </w:r>
      <w:r>
        <w:rPr/>
        <w:t xml:space="preserve">) </w:t>
      </w:r>
      <w:r>
        <w:rPr/>
        <w:t>안건은 금융소비자보호부의 사전협의 완료 후 부의한다</w:t>
      </w:r>
      <w:r>
        <w:rPr/>
        <w:t>.</w:t>
      </w:r>
    </w:p>
    <w:p>
      <w:pPr>
        <w:pStyle w:val="Compact"/>
        <w:numPr>
          <w:ilvl w:val="0"/>
          <w:numId w:val="57"/>
        </w:numPr>
        <w:rPr/>
      </w:pPr>
      <w:r>
        <w:rPr/>
        <w:t>회의 개최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위원회는 매월 </w:t>
      </w:r>
      <w:r>
        <w:rPr/>
        <w:t>1</w:t>
      </w:r>
      <w:r>
        <w:rPr/>
        <w:t>회 개최함을 원칙으로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가항에도 불구하고 위원장이 필요하다고 인정한 때에는 수시로 위원회를 개최할 수 있으며</w:t>
      </w:r>
      <w:r>
        <w:rPr/>
        <w:t xml:space="preserve">, </w:t>
      </w:r>
      <w:r>
        <w:rPr/>
        <w:t>심의∙의결 또는 보고 사항이 없는 경우에는 위원장이 개최를 생략할 수 있다</w:t>
      </w:r>
      <w:r>
        <w:rPr/>
        <w:t>.</w:t>
      </w:r>
    </w:p>
    <w:p>
      <w:pPr>
        <w:pStyle w:val="Compact"/>
        <w:numPr>
          <w:ilvl w:val="0"/>
          <w:numId w:val="58"/>
        </w:numPr>
        <w:rPr/>
      </w:pPr>
      <w:r>
        <w:rPr/>
        <w:t>심의</w:t>
      </w:r>
      <w:r>
        <w:rPr/>
        <w:t>·</w:t>
      </w:r>
      <w:r>
        <w:rPr/>
        <w:t>의결 대상</w:t>
      </w:r>
    </w:p>
    <w:p>
      <w:pPr>
        <w:pStyle w:val="FirstParagraph"/>
        <w:rPr/>
      </w:pPr>
      <w:r>
        <w:rPr/>
        <w:t>위원회의 심의</w:t>
      </w:r>
      <w:r>
        <w:rPr/>
        <w:t>·</w:t>
      </w:r>
      <w:r>
        <w:rPr/>
        <w:t>의결 대상은 다음 각 항과 같다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비예금상품의 판매여부</w:t>
      </w:r>
      <w:r>
        <w:rPr/>
        <w:t xml:space="preserve">, </w:t>
      </w:r>
      <w:r>
        <w:rPr/>
        <w:t>판매대상 고객군</w:t>
      </w:r>
      <w:r>
        <w:rPr/>
        <w:t xml:space="preserve">, </w:t>
      </w:r>
      <w:r>
        <w:rPr/>
        <w:t>판매한도</w:t>
      </w:r>
      <w:r>
        <w:rPr/>
        <w:t>(</w:t>
      </w:r>
      <w:r>
        <w:rPr/>
        <w:t>고객당 판매한도 및 전체 판매한도의 증액 포함</w:t>
      </w:r>
      <w:r>
        <w:rPr/>
        <w:t xml:space="preserve">), </w:t>
      </w:r>
      <w:r>
        <w:rPr/>
        <w:t>판매절차</w:t>
      </w:r>
      <w:r>
        <w:rPr/>
        <w:t xml:space="preserve">, </w:t>
      </w:r>
      <w:r>
        <w:rPr/>
        <w:t>판매방법</w:t>
      </w:r>
      <w:r>
        <w:rPr/>
        <w:t xml:space="preserve">, </w:t>
      </w:r>
      <w:r>
        <w:rPr/>
        <w:t>판매전략</w:t>
      </w:r>
      <w:r>
        <w:rPr/>
        <w:t xml:space="preserve">, </w:t>
      </w:r>
      <w:r>
        <w:rPr/>
        <w:t>상품선정기준</w:t>
      </w:r>
      <w:r>
        <w:rPr/>
        <w:t>(</w:t>
      </w:r>
      <w:r>
        <w:rPr/>
        <w:t>파생결합증권 투자상품의 경우 발행사 선정기준 포함</w:t>
      </w:r>
      <w:r>
        <w:rPr/>
        <w:t xml:space="preserve">) </w:t>
      </w:r>
      <w:r>
        <w:rPr/>
        <w:t>등 상품 기획</w:t>
      </w:r>
      <w:r>
        <w:rPr/>
        <w:t>·</w:t>
      </w:r>
      <w:r>
        <w:rPr/>
        <w:t>선정 전반에 대한 사항</w:t>
      </w:r>
      <w:r>
        <w:rPr/>
        <w:t>(</w:t>
      </w:r>
      <w:r>
        <w:rPr/>
        <w:t>단</w:t>
      </w:r>
      <w:r>
        <w:rPr/>
        <w:t xml:space="preserve">, </w:t>
      </w:r>
      <w:r>
        <w:rPr/>
        <w:t>고객별 한도를 정함에 있어</w:t>
      </w:r>
      <w:r>
        <w:rPr/>
        <w:t xml:space="preserve">, </w:t>
      </w:r>
      <w:r>
        <w:rPr/>
        <w:t>고난도금융상품은 별도의 관리한도를 설정해야 한다</w:t>
      </w:r>
      <w:r>
        <w:rPr/>
        <w:t>.)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비예금상품 판매 후 실적 등 현황</w:t>
      </w:r>
      <w:r>
        <w:rPr/>
        <w:t xml:space="preserve">, </w:t>
      </w:r>
      <w:r>
        <w:rPr/>
        <w:t>실제 상품선정내역</w:t>
      </w:r>
      <w:r>
        <w:rPr/>
        <w:t xml:space="preserve">, </w:t>
      </w:r>
      <w:r>
        <w:rPr/>
        <w:t>판매한도 준수 여부</w:t>
      </w:r>
      <w:r>
        <w:rPr/>
        <w:t xml:space="preserve">, </w:t>
      </w:r>
      <w:r>
        <w:rPr/>
        <w:t>투자자손익</w:t>
      </w:r>
      <w:r>
        <w:rPr/>
        <w:t xml:space="preserve">, </w:t>
      </w:r>
      <w:r>
        <w:rPr/>
        <w:t>상품별 평가 손익 추이</w:t>
      </w:r>
      <w:r>
        <w:rPr/>
        <w:t xml:space="preserve">, </w:t>
      </w:r>
      <w:r>
        <w:rPr/>
        <w:t>제조회사의 투자전략 및 운용방법 변동 여부</w:t>
      </w:r>
      <w:r>
        <w:rPr/>
        <w:t xml:space="preserve">, </w:t>
      </w:r>
      <w:r>
        <w:rPr/>
        <w:t>환매연기</w:t>
      </w:r>
      <w:r>
        <w:rPr/>
        <w:t xml:space="preserve">, </w:t>
      </w:r>
      <w:r>
        <w:rPr/>
        <w:t>소송발생</w:t>
      </w:r>
      <w:r>
        <w:rPr/>
        <w:t xml:space="preserve">, </w:t>
      </w:r>
      <w:r>
        <w:rPr/>
        <w:t>민원</w:t>
      </w:r>
      <w:r>
        <w:rPr/>
        <w:t>·</w:t>
      </w:r>
      <w:r>
        <w:rPr/>
        <w:t>분쟁발생 현황</w:t>
      </w:r>
      <w:r>
        <w:rPr/>
        <w:t xml:space="preserve">, </w:t>
      </w:r>
      <w:r>
        <w:rPr/>
        <w:t xml:space="preserve">급격한 시장상황 변동 등 판매상품에 영향을 주는 중요사항을 정기 또는 수시로 분석한 모니터링 결과를 심의 </w:t>
      </w:r>
      <w:r>
        <w:rPr/>
        <w:t>(</w:t>
      </w:r>
      <w:r>
        <w:rPr/>
        <w:t>단</w:t>
      </w:r>
      <w:r>
        <w:rPr/>
        <w:t xml:space="preserve">, </w:t>
      </w:r>
      <w:r>
        <w:rPr/>
        <w:t>고난도 금융상품에 대한 모니터링은 매월 실시</w:t>
      </w:r>
      <w:r>
        <w:rPr/>
        <w:t>)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사후관리</w:t>
      </w:r>
      <w:r>
        <w:rPr/>
        <w:t>(</w:t>
      </w:r>
      <w:r>
        <w:rPr/>
        <w:t>판매 후 모니터링 포함</w:t>
      </w:r>
      <w:r>
        <w:rPr/>
        <w:t xml:space="preserve">) </w:t>
      </w:r>
      <w:r>
        <w:rPr/>
        <w:t>과정에서 고객의 피해 발생이 우려되거나 피해가 발생한 경우 또는 해당 상품과 관련하여 민원 및 불완전판매 사례가 다수 발생한 경우 등 중대한 사안이 발생하거나 발생할 우려가 있는 경우 상품의 판매한도 축소</w:t>
      </w:r>
      <w:r>
        <w:rPr/>
        <w:t xml:space="preserve">, </w:t>
      </w:r>
      <w:r>
        <w:rPr/>
        <w:t>판매대상 변경</w:t>
      </w:r>
      <w:r>
        <w:rPr/>
        <w:t xml:space="preserve">, </w:t>
      </w:r>
      <w:r>
        <w:rPr/>
        <w:t>판매중단</w:t>
      </w:r>
      <w:r>
        <w:rPr/>
        <w:t xml:space="preserve">, </w:t>
      </w:r>
      <w:r>
        <w:rPr/>
        <w:t>전담 대응팀 구성 등 대응반안에 관한 사항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외부 제조 금융회사의 재무적 건전성 등 양적요소와 상품 운용 및 리스크관리 능력 등 질적요소에 관한 정기적인 평가 결과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고객에 대한 정보제공</w:t>
      </w:r>
      <w:r>
        <w:rPr/>
        <w:t>(</w:t>
      </w:r>
      <w:r>
        <w:rPr/>
        <w:t>상품 손익상황</w:t>
      </w:r>
      <w:r>
        <w:rPr/>
        <w:t xml:space="preserve">, </w:t>
      </w:r>
      <w:r>
        <w:rPr/>
        <w:t>상품의 리스크 현황</w:t>
      </w:r>
      <w:r>
        <w:rPr/>
        <w:t xml:space="preserve">, </w:t>
      </w:r>
      <w:r>
        <w:rPr/>
        <w:t>상품 관련 시장상황 등</w:t>
      </w:r>
      <w:r>
        <w:rPr/>
        <w:t xml:space="preserve">) </w:t>
      </w:r>
      <w:r>
        <w:rPr/>
        <w:t>대상의 범위나 방법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비예금상품 기획</w:t>
      </w:r>
      <w:r>
        <w:rPr/>
        <w:t xml:space="preserve">, </w:t>
      </w:r>
      <w:r>
        <w:rPr/>
        <w:t>선정</w:t>
      </w:r>
      <w:r>
        <w:rPr/>
        <w:t xml:space="preserve">, </w:t>
      </w:r>
      <w:r>
        <w:rPr/>
        <w:t>판매</w:t>
      </w:r>
      <w:r>
        <w:rPr/>
        <w:t xml:space="preserve">, </w:t>
      </w:r>
      <w:r>
        <w:rPr/>
        <w:t>사후관리 등과 관련하여 부서간 업무조정 등에 관한 사항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건별 승인이 곤란하거나 불합리한 비예금상품의 포괄승인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협의회에 위임할 사항</w:t>
      </w:r>
    </w:p>
    <w:p>
      <w:pPr>
        <w:pStyle w:val="BodyText"/>
        <w:rPr/>
      </w:pPr>
      <w:r>
        <w:rPr/>
        <w:t>자</w:t>
      </w:r>
      <w:r>
        <w:rPr/>
        <w:t xml:space="preserve">. </w:t>
      </w:r>
      <w:r>
        <w:rPr/>
        <w:t>기타 비예금상품 판매 관련 주요사항</w:t>
      </w:r>
    </w:p>
    <w:p>
      <w:pPr>
        <w:pStyle w:val="Compact"/>
        <w:numPr>
          <w:ilvl w:val="0"/>
          <w:numId w:val="59"/>
        </w:numPr>
        <w:rPr/>
      </w:pPr>
      <w:r>
        <w:rPr/>
        <w:t>업무 위임</w:t>
      </w:r>
    </w:p>
    <w:p>
      <w:pPr>
        <w:pStyle w:val="FirstParagraph"/>
        <w:rPr/>
      </w:pPr>
      <w:r>
        <w:rPr/>
        <w:t>위원회는 업무의 효율적 처리를 위해 ‘협의회’에 업무 중 일부를 위임하여 처리하게 할 수 있다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다음 각 항은 위임할 수 없다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고난도 금융상품의 판매에 관한 사항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해외대체펀드</w:t>
      </w:r>
      <w:r>
        <w:rPr/>
        <w:t>(</w:t>
      </w:r>
      <w:r>
        <w:rPr/>
        <w:t>기초자산이 해외에 소재하거나 제조 금융회사 및 자문회사 등이 해외기업인 경우를 포함한다</w:t>
      </w:r>
      <w:r>
        <w:rPr/>
        <w:t>)</w:t>
      </w:r>
      <w:r>
        <w:rPr/>
        <w:t>의 판매에 관한 사항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 xml:space="preserve">상품에 대한 위험도 분류결과 투자등급이 </w:t>
      </w:r>
      <w:r>
        <w:rPr/>
        <w:t>3</w:t>
      </w:r>
      <w:r>
        <w:rPr/>
        <w:t>등급</w:t>
      </w:r>
      <w:r>
        <w:rPr/>
        <w:t>(</w:t>
      </w:r>
      <w:r>
        <w:rPr/>
        <w:t>다소 높은 위험</w:t>
      </w:r>
      <w:r>
        <w:rPr/>
        <w:t>)</w:t>
      </w:r>
      <w:r>
        <w:rPr/>
        <w:t>이상인 상품의 판매에 관한 사항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기존 상품과 동일한 상품의 재판매에 관한 사항으로서 사전에 마련한 정량</w:t>
      </w:r>
      <w:r>
        <w:rPr/>
        <w:t>·</w:t>
      </w:r>
      <w:r>
        <w:rPr/>
        <w:t>정성적 판단기준</w:t>
      </w:r>
      <w:r>
        <w:rPr/>
        <w:t>(</w:t>
      </w:r>
      <w:r>
        <w:rPr/>
        <w:t>기초자산의 변화</w:t>
      </w:r>
      <w:r>
        <w:rPr/>
        <w:t xml:space="preserve">, </w:t>
      </w:r>
      <w:r>
        <w:rPr/>
        <w:t>손실배수의 변경</w:t>
      </w:r>
      <w:r>
        <w:rPr/>
        <w:t xml:space="preserve">, </w:t>
      </w:r>
      <w:r>
        <w:rPr/>
        <w:t>시장환경 변화 등</w:t>
      </w:r>
      <w:r>
        <w:rPr/>
        <w:t xml:space="preserve">) </w:t>
      </w:r>
      <w:r>
        <w:rPr/>
        <w:t>에 따라 상품의 손실가능성이 예측되거나 위험도나 구조에 변화가 있는 경우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기타 위원회가 정하는 사항</w:t>
      </w:r>
    </w:p>
    <w:p>
      <w:pPr>
        <w:pStyle w:val="Compact"/>
        <w:numPr>
          <w:ilvl w:val="0"/>
          <w:numId w:val="60"/>
        </w:numPr>
        <w:rPr/>
      </w:pPr>
      <w:r>
        <w:rPr/>
        <w:t>심의</w:t>
      </w:r>
      <w:r>
        <w:rPr/>
        <w:t>·</w:t>
      </w:r>
      <w:r>
        <w:rPr/>
        <w:t>의결 방법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위원회는 위원 </w:t>
      </w:r>
      <w:r>
        <w:rPr/>
        <w:t>3</w:t>
      </w:r>
      <w:r>
        <w:rPr/>
        <w:t xml:space="preserve">분의 </w:t>
      </w:r>
      <w:r>
        <w:rPr/>
        <w:t>2</w:t>
      </w:r>
      <w:r>
        <w:rPr/>
        <w:t>이상의 출석과 출석위원 과반수의 찬성으로 의결한다</w:t>
      </w:r>
      <w:r>
        <w:rPr/>
        <w:t xml:space="preserve">. </w:t>
      </w:r>
      <w:r>
        <w:rPr/>
        <w:t>심의</w:t>
      </w:r>
      <w:r>
        <w:rPr/>
        <w:t>·</w:t>
      </w:r>
      <w:r>
        <w:rPr/>
        <w:t>결정 과정에서 금융소비자보호 총괄책임자</w:t>
      </w:r>
      <w:r>
        <w:rPr/>
        <w:t xml:space="preserve">(CCO), </w:t>
      </w:r>
      <w:r>
        <w:rPr/>
        <w:t>리스크관리그룹장</w:t>
      </w:r>
      <w:r>
        <w:rPr/>
        <w:t xml:space="preserve">, </w:t>
      </w:r>
      <w:r>
        <w:rPr/>
        <w:t>준법감시인이 반대하면 해당 비예금상품 판매를 보류하여야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위원회는 대면출석에 의한 심의</w:t>
      </w:r>
      <w:r>
        <w:rPr/>
        <w:t>·</w:t>
      </w:r>
      <w:r>
        <w:rPr/>
        <w:t>의결을 원칙으로 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위원장이 불가피하다고 인정하는 경우에 한하여 비대면으로 심의</w:t>
      </w:r>
      <w:r>
        <w:rPr/>
        <w:t>·</w:t>
      </w:r>
      <w:r>
        <w:rPr/>
        <w:t>의결 할 수 있다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위험관리책임자</w:t>
      </w:r>
      <w:r>
        <w:rPr/>
        <w:t xml:space="preserve">, </w:t>
      </w:r>
      <w:r>
        <w:rPr/>
        <w:t>금융소비자보호 총괄책임자</w:t>
      </w:r>
      <w:r>
        <w:rPr/>
        <w:t xml:space="preserve">(CCO), </w:t>
      </w:r>
      <w:r>
        <w:rPr/>
        <w:t>준법감시인은 위험관리기준</w:t>
      </w:r>
      <w:r>
        <w:rPr/>
        <w:t xml:space="preserve">, </w:t>
      </w:r>
      <w:r>
        <w:rPr/>
        <w:t>금융소비자보호기준 및 내부통제기준에 위배되는지 여부를 점검하기 위해 위원회에 참여하여 의결권을 행사해야 하며</w:t>
      </w:r>
      <w:r>
        <w:rPr/>
        <w:t xml:space="preserve">, </w:t>
      </w:r>
      <w:r>
        <w:rPr/>
        <w:t>상기 인원을 포함한 각 참석위원들의 의결권 행사 사유</w:t>
      </w:r>
      <w:r>
        <w:rPr/>
        <w:t>(</w:t>
      </w:r>
      <w:r>
        <w:rPr/>
        <w:t>판단근거 등</w:t>
      </w:r>
      <w:r>
        <w:rPr/>
        <w:t>)</w:t>
      </w:r>
      <w:r>
        <w:rPr/>
        <w:t>는 기록</w:t>
      </w:r>
      <w:r>
        <w:rPr/>
        <w:t>·</w:t>
      </w:r>
      <w:r>
        <w:rPr/>
        <w:t>유지해야 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 xml:space="preserve">위원회 구성원 중 직위를 겸직하는 자가 있을 경우 의결권은 </w:t>
      </w:r>
      <w:r>
        <w:rPr/>
        <w:t>1</w:t>
      </w:r>
      <w:r>
        <w:rPr/>
        <w:t>표만 행사할 수 있다</w:t>
      </w:r>
      <w:r>
        <w:rPr/>
        <w:t>.</w:t>
      </w:r>
    </w:p>
    <w:p>
      <w:pPr>
        <w:pStyle w:val="Compact"/>
        <w:numPr>
          <w:ilvl w:val="0"/>
          <w:numId w:val="61"/>
        </w:numPr>
        <w:rPr/>
      </w:pPr>
      <w:r>
        <w:rPr/>
        <w:t>회의 사후관리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결과 통지</w:t>
      </w:r>
    </w:p>
    <w:p>
      <w:pPr>
        <w:pStyle w:val="BodyText"/>
        <w:rPr/>
      </w:pPr>
      <w:r>
        <w:rPr/>
        <w:t>지원부서는 위원회 개최 후 심의</w:t>
      </w:r>
      <w:r>
        <w:rPr/>
        <w:t>·</w:t>
      </w:r>
      <w:r>
        <w:rPr/>
        <w:t>의결 결과를 문서</w:t>
      </w:r>
      <w:r>
        <w:rPr/>
        <w:t>(</w:t>
      </w:r>
      <w:r>
        <w:rPr/>
        <w:t>전자문서 포함</w:t>
      </w:r>
      <w:r>
        <w:rPr/>
        <w:t>)</w:t>
      </w:r>
      <w:r>
        <w:rPr/>
        <w:t>를 통해 상품담당부서 및 위원에게 통지하여야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자료제출 관리</w:t>
      </w:r>
    </w:p>
    <w:p>
      <w:pPr>
        <w:pStyle w:val="Normal"/>
        <w:numPr>
          <w:ilvl w:val="0"/>
          <w:numId w:val="62"/>
        </w:numPr>
        <w:rPr/>
      </w:pPr>
      <w:r>
        <w:rPr/>
        <w:t>외부 제조 금융회사의 비예금상품을 판매하는 경우 고객 보호 및 특정 비예금상품 제조회사에 대한 집중 위험 등을 방지하기 위해 상품담당부서는 제조회사의 재무적 건전성 등 양적요소와 상품 운용 및 리스크관리 능력 등 질적 요소를 정기적으로 평가하고 평가결과와 평가근거자료를 지원부서의 요청에 따라 정기 또는 수시 제출하여야 한다</w:t>
      </w:r>
      <w:r>
        <w:rPr/>
        <w:t>.</w:t>
      </w:r>
    </w:p>
    <w:p>
      <w:pPr>
        <w:pStyle w:val="Normal"/>
        <w:numPr>
          <w:ilvl w:val="0"/>
          <w:numId w:val="63"/>
        </w:numPr>
        <w:rPr/>
      </w:pPr>
      <w:r>
        <w:rPr/>
        <w:t>상품담당부서는 위원회 심의</w:t>
      </w:r>
      <w:r>
        <w:rPr/>
        <w:t>·</w:t>
      </w:r>
      <w:r>
        <w:rPr/>
        <w:t>의결 결과에 대한 은행장 및 이사회 보고자료를 지원부서의 요청에 따라 정기 또는 수시 제출하여야 한다</w:t>
      </w:r>
      <w:r>
        <w:rPr/>
        <w:t>.</w:t>
      </w:r>
    </w:p>
    <w:p>
      <w:pPr>
        <w:pStyle w:val="FirstParagraph"/>
        <w:rPr/>
      </w:pPr>
      <w:r>
        <w:rPr/>
        <w:t>다</w:t>
      </w:r>
      <w:r>
        <w:rPr/>
        <w:t xml:space="preserve">. </w:t>
      </w:r>
      <w:r>
        <w:rPr/>
        <w:t>은행장 및 이사회 보고</w:t>
      </w:r>
    </w:p>
    <w:p>
      <w:pPr>
        <w:pStyle w:val="BodyText"/>
        <w:rPr/>
      </w:pPr>
      <w:r>
        <w:rPr/>
        <w:t>위원회는 정기 또는 수시로 다음 사항을 은행장 및 이사회에 보고하여야 한다</w:t>
      </w:r>
      <w:r>
        <w:rPr/>
        <w:t>.</w:t>
      </w:r>
    </w:p>
    <w:p>
      <w:pPr>
        <w:pStyle w:val="Normal"/>
        <w:numPr>
          <w:ilvl w:val="0"/>
          <w:numId w:val="64"/>
        </w:numPr>
        <w:rPr/>
      </w:pPr>
      <w:r>
        <w:rPr/>
        <w:t>위원회에서 심의</w:t>
      </w:r>
      <w:r>
        <w:rPr/>
        <w:t>·</w:t>
      </w:r>
      <w:r>
        <w:rPr/>
        <w:t>의결한 사항</w:t>
      </w:r>
    </w:p>
    <w:p>
      <w:pPr>
        <w:pStyle w:val="Normal"/>
        <w:numPr>
          <w:ilvl w:val="0"/>
          <w:numId w:val="65"/>
        </w:numPr>
        <w:rPr/>
      </w:pPr>
      <w:r>
        <w:rPr/>
        <w:t>협의회에 위임할 사항을 정하는 기준</w:t>
      </w:r>
      <w:r>
        <w:rPr/>
        <w:t xml:space="preserve">, </w:t>
      </w:r>
      <w:r>
        <w:rPr/>
        <w:t>그 기준에 따른 위임사항</w:t>
      </w:r>
      <w:r>
        <w:rPr/>
        <w:t xml:space="preserve">, </w:t>
      </w:r>
      <w:r>
        <w:rPr/>
        <w:t>협의회의 운영절차 등 위임에 관한 모든 사항</w:t>
      </w:r>
    </w:p>
    <w:p>
      <w:pPr>
        <w:pStyle w:val="FirstParagraph"/>
        <w:rPr/>
      </w:pPr>
      <w:r>
        <w:rPr/>
        <w:t>라</w:t>
      </w:r>
      <w:r>
        <w:rPr/>
        <w:t xml:space="preserve">. </w:t>
      </w:r>
      <w:r>
        <w:rPr/>
        <w:t>회의록 작성 및 기록유지</w:t>
      </w:r>
    </w:p>
    <w:p>
      <w:pPr>
        <w:pStyle w:val="Normal"/>
        <w:numPr>
          <w:ilvl w:val="0"/>
          <w:numId w:val="66"/>
        </w:numPr>
        <w:rPr/>
      </w:pPr>
      <w:r>
        <w:rPr/>
        <w:t>지원부서는 위원회 진행 내용 및 결과를 회의록에 기재 및 참석 위원의 서명을 받은 후 보관한다</w:t>
      </w:r>
      <w:r>
        <w:rPr/>
        <w:t>.</w:t>
      </w:r>
    </w:p>
    <w:p>
      <w:pPr>
        <w:pStyle w:val="Normal"/>
        <w:numPr>
          <w:ilvl w:val="0"/>
          <w:numId w:val="67"/>
        </w:numPr>
        <w:rPr/>
      </w:pPr>
      <w:r>
        <w:rPr/>
        <w:t xml:space="preserve">지원부서는 위원회에서 논의된 사항에 대하여는 최소 </w:t>
      </w:r>
      <w:r>
        <w:rPr/>
        <w:t>10</w:t>
      </w:r>
      <w:r>
        <w:rPr/>
        <w:t>년 이상 녹취나 영상</w:t>
      </w:r>
      <w:r>
        <w:rPr/>
        <w:t xml:space="preserve">, </w:t>
      </w:r>
      <w:r>
        <w:rPr/>
        <w:t>속기</w:t>
      </w:r>
      <w:r>
        <w:rPr/>
        <w:t>·</w:t>
      </w:r>
      <w:r>
        <w:rPr/>
        <w:t>음성변환 방식의 서면 등의 방법으로 기록</w:t>
      </w:r>
      <w:r>
        <w:rPr/>
        <w:t>·</w:t>
      </w:r>
      <w:r>
        <w:rPr/>
        <w:t>유지토록 해야 한다</w:t>
      </w:r>
      <w:r>
        <w:rPr/>
        <w:t>.</w:t>
      </w:r>
      <w:bookmarkEnd w:id="2"/>
    </w:p>
    <w:p>
      <w:pPr>
        <w:pStyle w:val="Heading2"/>
        <w:rPr/>
      </w:pPr>
      <w:bookmarkStart w:id="3" w:name="제3장-비예금상품협의회"/>
      <w:r>
        <w:rPr/>
        <w:t>제</w:t>
      </w:r>
      <w:r>
        <w:rPr/>
        <w:t>3</w:t>
      </w:r>
      <w:r>
        <w:rPr/>
        <w:t>장 비예금상품협의회</w:t>
      </w:r>
    </w:p>
    <w:p>
      <w:pPr>
        <w:pStyle w:val="Compact"/>
        <w:numPr>
          <w:ilvl w:val="0"/>
          <w:numId w:val="68"/>
        </w:numPr>
        <w:rPr/>
      </w:pPr>
      <w:r>
        <w:rPr/>
        <w:t>설치</w:t>
      </w:r>
    </w:p>
    <w:p>
      <w:pPr>
        <w:pStyle w:val="FirstParagraph"/>
        <w:rPr/>
      </w:pPr>
      <w:r>
        <w:rPr/>
        <w:t>은행은 위원회가 위임한 업무와 기타 지시한 사항을 처리하기 위하여 협의회를 설치한다</w:t>
      </w:r>
      <w:r>
        <w:rPr/>
        <w:t>.</w:t>
      </w:r>
    </w:p>
    <w:p>
      <w:pPr>
        <w:pStyle w:val="Compact"/>
        <w:numPr>
          <w:ilvl w:val="0"/>
          <w:numId w:val="69"/>
        </w:numPr>
        <w:rPr/>
      </w:pPr>
      <w:r>
        <w:rPr/>
        <w:t>역할</w:t>
      </w:r>
    </w:p>
    <w:p>
      <w:pPr>
        <w:pStyle w:val="FirstParagraph"/>
        <w:rPr/>
      </w:pPr>
      <w:r>
        <w:rPr/>
        <w:t>협의회는 위원회가 업무의 효율적 처리를 위해 위임한 업무와 기타 지시한 사항을 수행한다</w:t>
      </w:r>
      <w:r>
        <w:rPr/>
        <w:t>.</w:t>
      </w:r>
    </w:p>
    <w:p>
      <w:pPr>
        <w:pStyle w:val="Compact"/>
        <w:numPr>
          <w:ilvl w:val="0"/>
          <w:numId w:val="70"/>
        </w:numPr>
        <w:rPr/>
      </w:pPr>
      <w:r>
        <w:rPr/>
        <w:t>구성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협의회는 금융소비자보호부장</w:t>
      </w:r>
      <w:r>
        <w:rPr/>
        <w:t xml:space="preserve">, </w:t>
      </w:r>
      <w:r>
        <w:rPr/>
        <w:t>전략기획부장</w:t>
      </w:r>
      <w:r>
        <w:rPr/>
        <w:t xml:space="preserve">, </w:t>
      </w:r>
      <w:r>
        <w:rPr/>
        <w:t>리스크관리부장</w:t>
      </w:r>
      <w:r>
        <w:rPr/>
        <w:t>, WM</w:t>
      </w:r>
      <w:r>
        <w:rPr/>
        <w:t>사업부장</w:t>
      </w:r>
      <w:r>
        <w:rPr/>
        <w:t xml:space="preserve">, </w:t>
      </w:r>
      <w:r>
        <w:rPr/>
        <w:t>여신정책부장</w:t>
      </w:r>
      <w:r>
        <w:rPr/>
        <w:t xml:space="preserve">, </w:t>
      </w:r>
      <w:r>
        <w:rPr/>
        <w:t>신탁사업부장</w:t>
      </w:r>
      <w:r>
        <w:rPr/>
        <w:t xml:space="preserve">, </w:t>
      </w:r>
      <w:r>
        <w:rPr/>
        <w:t>준법감시부장으로 구성한다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상품담당 부서장은 이해상충 있는 상품에 대한 심의</w:t>
      </w:r>
      <w:r>
        <w:rPr/>
        <w:t>·</w:t>
      </w:r>
      <w:r>
        <w:rPr/>
        <w:t>의결에는 참여할 수 없다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위원장은 금융소비자보호부장으로 하며</w:t>
      </w:r>
      <w:r>
        <w:rPr/>
        <w:t xml:space="preserve">, </w:t>
      </w:r>
      <w:r>
        <w:rPr/>
        <w:t>간사는 금융소비자보호부 책임자로 한다</w:t>
      </w:r>
      <w:r>
        <w:rPr/>
        <w:t xml:space="preserve">. </w:t>
      </w:r>
      <w:r>
        <w:rPr/>
        <w:t>위원장 부재시에는 협의회 소속 선임위원이 순서대로 그 직무를 대행하고</w:t>
      </w:r>
      <w:r>
        <w:rPr/>
        <w:t xml:space="preserve">, </w:t>
      </w:r>
      <w:r>
        <w:rPr/>
        <w:t>간사 부재시에는 금융소비자보호부 소속 선임책임자가 순서대로 그 직무를 대행한다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상품담당 부서장은 위원장 직무를 대행하여 협의회를 주재할 수 없다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협의회는 협의회의 전문성과 객관성을 제고하기 위해 필요시 협의회에 외부전문가</w:t>
      </w:r>
      <w:r>
        <w:rPr/>
        <w:t>(</w:t>
      </w:r>
      <w:r>
        <w:rPr/>
        <w:t>법인 포함</w:t>
      </w:r>
      <w:r>
        <w:rPr/>
        <w:t>)</w:t>
      </w:r>
      <w:r>
        <w:rPr/>
        <w:t>를 포함시키거나</w:t>
      </w:r>
      <w:r>
        <w:rPr/>
        <w:t xml:space="preserve">, </w:t>
      </w:r>
      <w:r>
        <w:rPr/>
        <w:t>협의회에 외부전문가를 참석시켜 의견을 청취할 수 있다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협의회에서 심의</w:t>
      </w:r>
      <w:r>
        <w:rPr/>
        <w:t>·</w:t>
      </w:r>
      <w:r>
        <w:rPr/>
        <w:t>의결 내용에 대한 의견 청취가 필요한 경우 실무직원을 협의회에 참석시켜 의견을 청취할 수 있다</w:t>
      </w:r>
      <w:r>
        <w:rPr/>
        <w:t>.</w:t>
      </w:r>
    </w:p>
    <w:p>
      <w:pPr>
        <w:pStyle w:val="Compact"/>
        <w:numPr>
          <w:ilvl w:val="0"/>
          <w:numId w:val="71"/>
        </w:numPr>
        <w:rPr/>
      </w:pPr>
      <w:r>
        <w:rPr/>
        <w:t>지원부서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비예금상품 선정의 객관성과 투명성을 제고하기 위하여 상품판매 및 영업과 관련 없는 부서인 금융소비자보호부</w:t>
      </w:r>
      <w:r>
        <w:rPr/>
        <w:t>(</w:t>
      </w:r>
      <w:r>
        <w:rPr/>
        <w:t>이하 ‘지원부서’라 한다</w:t>
      </w:r>
      <w:r>
        <w:rPr/>
        <w:t>)</w:t>
      </w:r>
      <w:r>
        <w:rPr/>
        <w:t>에서 협의회를 지원한다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비예금상품의 판매 실적은 지원부서 성과평가에 연계하여서는 아니된다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지원부서는 협의회 소집 및 주관</w:t>
      </w:r>
      <w:r>
        <w:rPr/>
        <w:t xml:space="preserve">, </w:t>
      </w:r>
      <w:r>
        <w:rPr/>
        <w:t>협의회 심의결과 통지</w:t>
      </w:r>
      <w:r>
        <w:rPr/>
        <w:t xml:space="preserve">, </w:t>
      </w:r>
      <w:r>
        <w:rPr/>
        <w:t>협의회 관련 기록의 보관∙유지 등 협의회를 보좌하는 역할을 수행한다</w:t>
      </w:r>
      <w:r>
        <w:rPr/>
        <w:t>.</w:t>
      </w:r>
    </w:p>
    <w:p>
      <w:pPr>
        <w:pStyle w:val="Compact"/>
        <w:numPr>
          <w:ilvl w:val="0"/>
          <w:numId w:val="72"/>
        </w:numPr>
        <w:rPr/>
      </w:pPr>
      <w:r>
        <w:rPr/>
        <w:t>회의 사전 준비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회의 일시</w:t>
      </w:r>
      <w:r>
        <w:rPr/>
        <w:t xml:space="preserve">, </w:t>
      </w:r>
      <w:r>
        <w:rPr/>
        <w:t>장소와 안건 등은 위원장이 정하고</w:t>
      </w:r>
      <w:r>
        <w:rPr/>
        <w:t xml:space="preserve">, </w:t>
      </w:r>
      <w:r>
        <w:rPr/>
        <w:t xml:space="preserve">지원부서에서 개최 </w:t>
      </w:r>
      <w:r>
        <w:rPr/>
        <w:t>2</w:t>
      </w:r>
      <w:r>
        <w:rPr/>
        <w:t>영업일 전까지 회의 일시</w:t>
      </w:r>
      <w:r>
        <w:rPr/>
        <w:t xml:space="preserve">, </w:t>
      </w:r>
      <w:r>
        <w:rPr/>
        <w:t>장소와 안건 등을 위원들에게 통지함을 원칙으로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 xml:space="preserve">상품담당부서는 </w:t>
      </w:r>
      <w:r>
        <w:rPr/>
        <w:t xml:space="preserve">7. </w:t>
      </w:r>
      <w:r>
        <w:rPr/>
        <w:t xml:space="preserve">심의∙의결 대상의 원활한 심의 및 의결을 위하여 관련자료를 최소한 협의회 개최 </w:t>
      </w:r>
      <w:r>
        <w:rPr/>
        <w:t>3</w:t>
      </w:r>
      <w:r>
        <w:rPr/>
        <w:t>영업일 전까지 지원부서로 제출하여야 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의결</w:t>
      </w:r>
      <w:r>
        <w:rPr/>
        <w:t>(</w:t>
      </w:r>
      <w:r>
        <w:rPr/>
        <w:t>결의</w:t>
      </w:r>
      <w:r>
        <w:rPr/>
        <w:t xml:space="preserve">) </w:t>
      </w:r>
      <w:r>
        <w:rPr/>
        <w:t>안건은 금융소비자보호부의 사전협의 완료 후 부의한다</w:t>
      </w:r>
      <w:r>
        <w:rPr/>
        <w:t>.</w:t>
      </w:r>
    </w:p>
    <w:p>
      <w:pPr>
        <w:pStyle w:val="Compact"/>
        <w:numPr>
          <w:ilvl w:val="0"/>
          <w:numId w:val="73"/>
        </w:numPr>
        <w:rPr/>
      </w:pPr>
      <w:r>
        <w:rPr/>
        <w:t>회의 개최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협의회는 매월 </w:t>
      </w:r>
      <w:r>
        <w:rPr/>
        <w:t>1</w:t>
      </w:r>
      <w:r>
        <w:rPr/>
        <w:t>회 개최함을 원칙으로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가항에도 불구하고 위원장이 필요하다고 인정한 때에는 수시로 협의회를 개최할 수 있으며</w:t>
      </w:r>
      <w:r>
        <w:rPr/>
        <w:t xml:space="preserve">, </w:t>
      </w:r>
      <w:r>
        <w:rPr/>
        <w:t>심의∙의결 또는 보고 사항이 없는 경우에는 위원장이 개최를 생략할 수 있다</w:t>
      </w:r>
      <w:r>
        <w:rPr/>
        <w:t>.</w:t>
      </w:r>
    </w:p>
    <w:p>
      <w:pPr>
        <w:pStyle w:val="Compact"/>
        <w:numPr>
          <w:ilvl w:val="0"/>
          <w:numId w:val="74"/>
        </w:numPr>
        <w:rPr/>
      </w:pPr>
      <w:r>
        <w:rPr/>
        <w:t>심의∙의결 대상</w:t>
      </w:r>
    </w:p>
    <w:p>
      <w:pPr>
        <w:pStyle w:val="FirstParagraph"/>
        <w:rPr/>
      </w:pPr>
      <w:r>
        <w:rPr/>
        <w:t>협의회는 위원회 심의∙의결 대상 중 위원회에서 위임받거나 지시받은 사항을 심의</w:t>
      </w:r>
      <w:r>
        <w:rPr/>
        <w:t>·</w:t>
      </w:r>
      <w:r>
        <w:rPr/>
        <w:t>의결한다</w:t>
      </w:r>
      <w:r>
        <w:rPr/>
        <w:t>.</w:t>
      </w:r>
    </w:p>
    <w:p>
      <w:pPr>
        <w:pStyle w:val="Compact"/>
        <w:numPr>
          <w:ilvl w:val="0"/>
          <w:numId w:val="75"/>
        </w:numPr>
        <w:rPr/>
      </w:pPr>
      <w:r>
        <w:rPr/>
        <w:t>심의</w:t>
      </w:r>
      <w:r>
        <w:rPr/>
        <w:t>·</w:t>
      </w:r>
      <w:r>
        <w:rPr/>
        <w:t>의결 방법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협의회는 위원 </w:t>
      </w:r>
      <w:r>
        <w:rPr/>
        <w:t>3</w:t>
      </w:r>
      <w:r>
        <w:rPr/>
        <w:t xml:space="preserve">분의 </w:t>
      </w:r>
      <w:r>
        <w:rPr/>
        <w:t>2</w:t>
      </w:r>
      <w:r>
        <w:rPr/>
        <w:t>이상의 출석과 출석위원 과반수의 찬성으로 의결한다</w:t>
      </w:r>
      <w:r>
        <w:rPr/>
        <w:t xml:space="preserve">. </w:t>
      </w:r>
      <w:r>
        <w:rPr/>
        <w:t>심의</w:t>
      </w:r>
      <w:r>
        <w:rPr/>
        <w:t>·</w:t>
      </w:r>
      <w:r>
        <w:rPr/>
        <w:t>결정 과정에서 금융소비자보호부장</w:t>
      </w:r>
      <w:r>
        <w:rPr/>
        <w:t xml:space="preserve">, </w:t>
      </w:r>
      <w:r>
        <w:rPr/>
        <w:t>리스크관리부장</w:t>
      </w:r>
      <w:r>
        <w:rPr/>
        <w:t xml:space="preserve">, </w:t>
      </w:r>
      <w:r>
        <w:rPr/>
        <w:t>준법감시부장이 반대하면 해당 비예금상품 판매를 보류하여야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협의회는 대면출석에 의한 심의</w:t>
      </w:r>
      <w:r>
        <w:rPr/>
        <w:t>·</w:t>
      </w:r>
      <w:r>
        <w:rPr/>
        <w:t>의결을 원칙으로 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위원장이 불가피하다고 인정하는 경우에 한하여 비대면으로 심의</w:t>
      </w:r>
      <w:r>
        <w:rPr/>
        <w:t>·</w:t>
      </w:r>
      <w:r>
        <w:rPr/>
        <w:t>의결 할 수 있다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리스크관리부장</w:t>
      </w:r>
      <w:r>
        <w:rPr/>
        <w:t xml:space="preserve">, </w:t>
      </w:r>
      <w:r>
        <w:rPr/>
        <w:t>금융소비자보호부장</w:t>
      </w:r>
      <w:r>
        <w:rPr/>
        <w:t xml:space="preserve">, </w:t>
      </w:r>
      <w:r>
        <w:rPr/>
        <w:t>준법감시부장은 위험관리기준</w:t>
      </w:r>
      <w:r>
        <w:rPr/>
        <w:t xml:space="preserve">, </w:t>
      </w:r>
      <w:r>
        <w:rPr/>
        <w:t>금융소비자보호기준 및 내부통제기준에 위배되는지 여부를 점검하기 위해 협의회에 참여하여 의결권을 행사해야 하며</w:t>
      </w:r>
      <w:r>
        <w:rPr/>
        <w:t xml:space="preserve">, </w:t>
      </w:r>
      <w:r>
        <w:rPr/>
        <w:t>상기 인원을 포함한 각 참석 위원들의 의결권 행사 사유</w:t>
      </w:r>
      <w:r>
        <w:rPr/>
        <w:t>(</w:t>
      </w:r>
      <w:r>
        <w:rPr/>
        <w:t>판단근거 등</w:t>
      </w:r>
      <w:r>
        <w:rPr/>
        <w:t>)</w:t>
      </w:r>
      <w:r>
        <w:rPr/>
        <w:t>는 기록</w:t>
      </w:r>
      <w:r>
        <w:rPr/>
        <w:t>·</w:t>
      </w:r>
      <w:r>
        <w:rPr/>
        <w:t>유지해야 한다</w:t>
      </w:r>
      <w:r>
        <w:rPr/>
        <w:t>.</w:t>
      </w:r>
    </w:p>
    <w:p>
      <w:pPr>
        <w:pStyle w:val="Compact"/>
        <w:numPr>
          <w:ilvl w:val="0"/>
          <w:numId w:val="76"/>
        </w:numPr>
        <w:rPr/>
      </w:pPr>
      <w:r>
        <w:rPr/>
        <w:t>회의 사후관리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결과 통지</w:t>
      </w:r>
    </w:p>
    <w:p>
      <w:pPr>
        <w:pStyle w:val="BodyText"/>
        <w:rPr/>
      </w:pPr>
      <w:r>
        <w:rPr/>
        <w:t>지원부서는 협의회 개최 후 심의</w:t>
      </w:r>
      <w:r>
        <w:rPr/>
        <w:t>·</w:t>
      </w:r>
      <w:r>
        <w:rPr/>
        <w:t>의결 결과를 문서</w:t>
      </w:r>
      <w:r>
        <w:rPr/>
        <w:t>(</w:t>
      </w:r>
      <w:r>
        <w:rPr/>
        <w:t>전자문서 포함</w:t>
      </w:r>
      <w:r>
        <w:rPr/>
        <w:t>)</w:t>
      </w:r>
      <w:r>
        <w:rPr/>
        <w:t>를 통해 상품담당부서 및 위원에게 통지하여야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자료제출 관리</w:t>
      </w:r>
    </w:p>
    <w:p>
      <w:pPr>
        <w:pStyle w:val="Normal"/>
        <w:numPr>
          <w:ilvl w:val="0"/>
          <w:numId w:val="77"/>
        </w:numPr>
        <w:rPr/>
      </w:pPr>
      <w:r>
        <w:rPr/>
        <w:t>외부 제조 금융회사의 비예금상품을 판매하는 경우 고객 보호 및 특정 비예금상품 제조회사에 대한 집중 위험 등을 방지하기 위해 상품담당부서는 제조회사의 재무적 건전성 등 양적요소와 상품 운용 및 리스크관리 능력 등 질적 요소를 정기적으로 평가하고 평가결과와 평가근거자료를 지원부서의 요청에 따라 정기 또는 수시 제출하여야 한다</w:t>
      </w:r>
      <w:r>
        <w:rPr/>
        <w:t>.</w:t>
      </w:r>
    </w:p>
    <w:p>
      <w:pPr>
        <w:pStyle w:val="Normal"/>
        <w:numPr>
          <w:ilvl w:val="0"/>
          <w:numId w:val="78"/>
        </w:numPr>
        <w:rPr/>
      </w:pPr>
      <w:r>
        <w:rPr/>
        <w:t>상품담당부서는 다</w:t>
      </w:r>
      <w:r>
        <w:rPr/>
        <w:t xml:space="preserve">. </w:t>
      </w:r>
      <w:r>
        <w:rPr/>
        <w:t>위원회 보고에 대하여 지원부서에서 요청할 경우 관련자료를 즉시 제출하여야 한다</w:t>
      </w:r>
      <w:r>
        <w:rPr/>
        <w:t>.</w:t>
      </w:r>
    </w:p>
    <w:p>
      <w:pPr>
        <w:pStyle w:val="FirstParagraph"/>
        <w:rPr/>
      </w:pPr>
      <w:r>
        <w:rPr/>
        <w:t>다</w:t>
      </w:r>
      <w:r>
        <w:rPr/>
        <w:t xml:space="preserve">. </w:t>
      </w:r>
      <w:r>
        <w:rPr/>
        <w:t>위원회 보고</w:t>
      </w:r>
    </w:p>
    <w:p>
      <w:pPr>
        <w:pStyle w:val="Normal"/>
        <w:numPr>
          <w:ilvl w:val="0"/>
          <w:numId w:val="79"/>
        </w:numPr>
        <w:rPr/>
      </w:pPr>
      <w:r>
        <w:rPr/>
        <w:t>협의회는 위원회로부터 위임받거나 지시받은 사항에 관해 심의</w:t>
      </w:r>
      <w:r>
        <w:rPr/>
        <w:t>·</w:t>
      </w:r>
      <w:r>
        <w:rPr/>
        <w:t>의결한 결과를 정기 또는 수시로 보고하여야 한다</w:t>
      </w:r>
      <w:r>
        <w:rPr/>
        <w:t>.</w:t>
      </w:r>
    </w:p>
    <w:p>
      <w:pPr>
        <w:pStyle w:val="Normal"/>
        <w:numPr>
          <w:ilvl w:val="0"/>
          <w:numId w:val="80"/>
        </w:numPr>
        <w:rPr/>
      </w:pPr>
      <w:r>
        <w:rPr/>
        <w:t>업무 수행과정에서 상품 수익률 급락 등 중대한 사안이 발생하면 지체 없이 보고해야 한다</w:t>
      </w:r>
      <w:r>
        <w:rPr/>
        <w:t>.</w:t>
      </w:r>
    </w:p>
    <w:p>
      <w:pPr>
        <w:pStyle w:val="FirstParagraph"/>
        <w:rPr/>
      </w:pPr>
      <w:r>
        <w:rPr/>
        <w:t>라</w:t>
      </w:r>
      <w:r>
        <w:rPr/>
        <w:t xml:space="preserve">. </w:t>
      </w:r>
      <w:r>
        <w:rPr/>
        <w:t>회의록 작성 및 기록유지</w:t>
      </w:r>
    </w:p>
    <w:p>
      <w:pPr>
        <w:pStyle w:val="Normal"/>
        <w:numPr>
          <w:ilvl w:val="0"/>
          <w:numId w:val="81"/>
        </w:numPr>
        <w:rPr/>
      </w:pPr>
      <w:r>
        <w:rPr/>
        <w:t>지원부서는 협의회 진행 내용 및 결과를 회의록에 기재 및 참석 위원의 서명을 받은 후 보관한다</w:t>
      </w:r>
      <w:r>
        <w:rPr/>
        <w:t>.</w:t>
      </w:r>
    </w:p>
    <w:p>
      <w:pPr>
        <w:pStyle w:val="Normal"/>
        <w:numPr>
          <w:ilvl w:val="0"/>
          <w:numId w:val="82"/>
        </w:numPr>
        <w:rPr/>
      </w:pPr>
      <w:r>
        <w:rPr/>
        <w:t xml:space="preserve">지원부서는 협의회에서 논의된 사항에 대하여는 최소 </w:t>
      </w:r>
      <w:r>
        <w:rPr/>
        <w:t>10</w:t>
      </w:r>
      <w:r>
        <w:rPr/>
        <w:t>년 이상 녹취나 영상</w:t>
      </w:r>
      <w:r>
        <w:rPr/>
        <w:t xml:space="preserve">, </w:t>
      </w:r>
      <w:r>
        <w:rPr/>
        <w:t>속기</w:t>
      </w:r>
      <w:r>
        <w:rPr/>
        <w:t>·</w:t>
      </w:r>
      <w:r>
        <w:rPr/>
        <w:t>음성 변환 방식의 서면 등의 방법으로 기록</w:t>
      </w:r>
      <w:r>
        <w:rPr/>
        <w:t>·</w:t>
      </w:r>
      <w:r>
        <w:rPr/>
        <w:t>유지토록 해야 한다</w:t>
      </w:r>
      <w:r>
        <w:rPr/>
        <w:t>.</w:t>
      </w:r>
      <w:bookmarkEnd w:id="3"/>
    </w:p>
    <w:p>
      <w:pPr>
        <w:pStyle w:val="Heading2"/>
        <w:rPr/>
      </w:pPr>
      <w:bookmarkStart w:id="4" w:name="부-칙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2021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4"/>
    </w:p>
    <w:p>
      <w:pPr>
        <w:pStyle w:val="Heading2"/>
        <w:rPr/>
      </w:pPr>
      <w:bookmarkStart w:id="5" w:name="부-칙-1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2022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12</w:t>
      </w:r>
      <w:r>
        <w:rPr/>
        <w:t>일부터 시행한다</w:t>
      </w:r>
      <w:r>
        <w:rPr/>
        <w:t>.</w:t>
      </w:r>
      <w:bookmarkEnd w:id="5"/>
    </w:p>
    <w:p>
      <w:pPr>
        <w:pStyle w:val="Heading2"/>
        <w:rPr/>
      </w:pPr>
      <w:bookmarkStart w:id="6" w:name="부-칙-2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2023</w:t>
      </w:r>
      <w:r>
        <w:rPr/>
        <w:t xml:space="preserve">년 </w:t>
      </w:r>
      <w:r>
        <w:rPr/>
        <w:t>6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6"/>
    </w:p>
    <w:p>
      <w:pPr>
        <w:pStyle w:val="Heading2"/>
        <w:rPr/>
      </w:pPr>
      <w:bookmarkStart w:id="7" w:name="부-칙-3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2024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7"/>
    </w:p>
    <w:p>
      <w:pPr>
        <w:pStyle w:val="Heading2"/>
        <w:rPr/>
      </w:pPr>
      <w:bookmarkStart w:id="8" w:name="부-칙-4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2025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8"/>
    </w:p>
    <w:p>
      <w:pPr>
        <w:pStyle w:val="Heading2"/>
        <w:rPr/>
      </w:pPr>
      <w:bookmarkStart w:id="9" w:name="부-칙-5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2025</w:t>
      </w:r>
      <w:r>
        <w:rPr/>
        <w:t xml:space="preserve">년 </w:t>
      </w:r>
      <w:r>
        <w:rPr/>
        <w:t>11</w:t>
      </w:r>
      <w:r>
        <w:rPr/>
        <w:t xml:space="preserve">월 </w:t>
      </w:r>
      <w:r>
        <w:rPr/>
        <w:t>10</w:t>
      </w:r>
      <w:r>
        <w:rPr/>
        <w:t>일부터 시행한다</w:t>
      </w:r>
      <w:r>
        <w:rPr/>
        <w:t>.</w:t>
      </w:r>
      <w:bookmarkEnd w:id="9"/>
    </w:p>
    <w:p>
      <w:pPr>
        <w:pStyle w:val="Heading2"/>
        <w:rPr/>
      </w:pPr>
      <w:bookmarkStart w:id="10" w:name="부-칙-6"/>
      <w:r>
        <w:rPr/>
        <w:t>부 칙</w:t>
      </w:r>
    </w:p>
    <w:p>
      <w:pPr>
        <w:pStyle w:val="FirstParagraph"/>
        <w:spacing w:before="180" w:after="180"/>
        <w:rPr/>
      </w:pPr>
      <w:r>
        <w:rPr/>
        <w:t xml:space="preserve">이 지침은 </w:t>
      </w:r>
      <w:r>
        <w:rPr/>
        <w:t>2026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0"/>
      <w:bookmarkEnd w:id="1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7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8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9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9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9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9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9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9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9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9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9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10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0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0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0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0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0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0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0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0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9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20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3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4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5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6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7">
    <w:lvl w:ilvl="0">
      <w:start w:val="7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8">
    <w:lvl w:ilvl="0">
      <w:start w:val="8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9">
    <w:lvl w:ilvl="0">
      <w:start w:val="9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9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9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9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9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9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9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9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9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0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31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32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3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1"/>
    <w:lvlOverride w:ilvl="0">
      <w:startOverride w:val="1"/>
    </w:lvlOverride>
  </w:num>
  <w:num w:numId="35">
    <w:abstractNumId w:val="2"/>
    <w:lvlOverride w:ilvl="0">
      <w:startOverride w:val="2"/>
    </w:lvlOverride>
  </w:num>
  <w:num w:numId="36">
    <w:abstractNumId w:val="3"/>
    <w:lvlOverride w:ilvl="0">
      <w:startOverride w:val="1"/>
    </w:lvlOverride>
  </w:num>
  <w:num w:numId="37">
    <w:abstractNumId w:val="4"/>
    <w:lvlOverride w:ilvl="0">
      <w:startOverride w:val="3"/>
    </w:lvlOverride>
  </w:num>
  <w:num w:numId="38">
    <w:abstractNumId w:val="3"/>
    <w:lvlOverride w:ilvl="0">
      <w:startOverride w:val="1"/>
    </w:lvlOverride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6"/>
    <w:lvlOverride w:ilvl="0">
      <w:startOverride w:val="4"/>
    </w:lvlOverride>
  </w:num>
  <w:num w:numId="46">
    <w:abstractNumId w:val="1"/>
    <w:lvlOverride w:ilvl="0">
      <w:startOverride w:val="1"/>
    </w:lvlOverride>
  </w:num>
  <w:num w:numId="47">
    <w:abstractNumId w:val="2"/>
    <w:lvlOverride w:ilvl="0">
      <w:startOverride w:val="2"/>
    </w:lvlOverride>
  </w:num>
  <w:num w:numId="48">
    <w:abstractNumId w:val="3"/>
    <w:lvlOverride w:ilvl="0">
      <w:startOverride w:val="1"/>
    </w:lvlOverride>
  </w:num>
  <w:num w:numId="49">
    <w:abstractNumId w:val="3"/>
  </w:num>
  <w:num w:numId="50">
    <w:abstractNumId w:val="3"/>
  </w:num>
  <w:num w:numId="51">
    <w:abstractNumId w:val="3"/>
  </w:num>
  <w:num w:numId="52">
    <w:abstractNumId w:val="3"/>
  </w:num>
  <w:num w:numId="53">
    <w:abstractNumId w:val="3"/>
  </w:num>
  <w:num w:numId="54">
    <w:abstractNumId w:val="4"/>
    <w:lvlOverride w:ilvl="0">
      <w:startOverride w:val="3"/>
    </w:lvlOverride>
  </w:num>
  <w:num w:numId="55">
    <w:abstractNumId w:val="6"/>
    <w:lvlOverride w:ilvl="0">
      <w:startOverride w:val="4"/>
    </w:lvlOverride>
  </w:num>
  <w:num w:numId="56">
    <w:abstractNumId w:val="12"/>
    <w:lvlOverride w:ilvl="0">
      <w:startOverride w:val="5"/>
    </w:lvlOverride>
  </w:num>
  <w:num w:numId="57">
    <w:abstractNumId w:val="13"/>
    <w:lvlOverride w:ilvl="0">
      <w:startOverride w:val="6"/>
    </w:lvlOverride>
  </w:num>
  <w:num w:numId="58">
    <w:abstractNumId w:val="14"/>
    <w:lvlOverride w:ilvl="0">
      <w:startOverride w:val="7"/>
    </w:lvlOverride>
  </w:num>
  <w:num w:numId="59">
    <w:abstractNumId w:val="15"/>
    <w:lvlOverride w:ilvl="0">
      <w:startOverride w:val="8"/>
    </w:lvlOverride>
  </w:num>
  <w:num w:numId="60">
    <w:abstractNumId w:val="16"/>
    <w:lvlOverride w:ilvl="0">
      <w:startOverride w:val="9"/>
    </w:lvlOverride>
  </w:num>
  <w:num w:numId="61">
    <w:abstractNumId w:val="17"/>
    <w:lvlOverride w:ilvl="0">
      <w:startOverride w:val="10"/>
    </w:lvlOverride>
  </w:num>
  <w:num w:numId="62">
    <w:abstractNumId w:val="3"/>
    <w:lvlOverride w:ilvl="0">
      <w:startOverride w:val="1"/>
    </w:lvlOverride>
  </w:num>
  <w:num w:numId="63">
    <w:abstractNumId w:val="3"/>
  </w:num>
  <w:num w:numId="64">
    <w:abstractNumId w:val="3"/>
    <w:lvlOverride w:ilvl="0">
      <w:startOverride w:val="1"/>
    </w:lvlOverride>
  </w:num>
  <w:num w:numId="65">
    <w:abstractNumId w:val="3"/>
  </w:num>
  <w:num w:numId="66">
    <w:abstractNumId w:val="3"/>
    <w:lvlOverride w:ilvl="0">
      <w:startOverride w:val="1"/>
    </w:lvlOverride>
  </w:num>
  <w:num w:numId="67">
    <w:abstractNumId w:val="3"/>
  </w:num>
  <w:num w:numId="68">
    <w:abstractNumId w:val="1"/>
    <w:lvlOverride w:ilvl="0">
      <w:startOverride w:val="1"/>
    </w:lvlOverride>
  </w:num>
  <w:num w:numId="69">
    <w:abstractNumId w:val="2"/>
    <w:lvlOverride w:ilvl="0">
      <w:startOverride w:val="2"/>
    </w:lvlOverride>
  </w:num>
  <w:num w:numId="70">
    <w:abstractNumId w:val="4"/>
    <w:lvlOverride w:ilvl="0">
      <w:startOverride w:val="3"/>
    </w:lvlOverride>
  </w:num>
  <w:num w:numId="71">
    <w:abstractNumId w:val="6"/>
    <w:lvlOverride w:ilvl="0">
      <w:startOverride w:val="4"/>
    </w:lvlOverride>
  </w:num>
  <w:num w:numId="72">
    <w:abstractNumId w:val="12"/>
    <w:lvlOverride w:ilvl="0">
      <w:startOverride w:val="5"/>
    </w:lvlOverride>
  </w:num>
  <w:num w:numId="73">
    <w:abstractNumId w:val="13"/>
    <w:lvlOverride w:ilvl="0">
      <w:startOverride w:val="6"/>
    </w:lvlOverride>
  </w:num>
  <w:num w:numId="74">
    <w:abstractNumId w:val="14"/>
    <w:lvlOverride w:ilvl="0">
      <w:startOverride w:val="7"/>
    </w:lvlOverride>
  </w:num>
  <w:num w:numId="75">
    <w:abstractNumId w:val="15"/>
    <w:lvlOverride w:ilvl="0">
      <w:startOverride w:val="8"/>
    </w:lvlOverride>
  </w:num>
  <w:num w:numId="76">
    <w:abstractNumId w:val="16"/>
    <w:lvlOverride w:ilvl="0">
      <w:startOverride w:val="9"/>
    </w:lvlOverride>
  </w:num>
  <w:num w:numId="77">
    <w:abstractNumId w:val="3"/>
    <w:lvlOverride w:ilvl="0">
      <w:startOverride w:val="1"/>
    </w:lvlOverride>
  </w:num>
  <w:num w:numId="78">
    <w:abstractNumId w:val="3"/>
  </w:num>
  <w:num w:numId="79">
    <w:abstractNumId w:val="3"/>
    <w:lvlOverride w:ilvl="0">
      <w:startOverride w:val="1"/>
    </w:lvlOverride>
  </w:num>
  <w:num w:numId="80">
    <w:abstractNumId w:val="3"/>
  </w:num>
  <w:num w:numId="81">
    <w:abstractNumId w:val="3"/>
    <w:lvlOverride w:ilvl="0">
      <w:startOverride w:val="1"/>
    </w:lvlOverride>
  </w:num>
  <w:num w:numId="82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2026-09-10T04:14:16Z</dcterms:created>
  <dc:creator/>
  <dc:description/>
  <dc:language>en-US</dc:language>
  <cp:lastModifiedBy/>
  <dcterms:modified xsi:type="dcterms:W3CDTF">2026-09-10T04:14:16Z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